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1B302B1" w:rsidR="00647CD7" w:rsidRPr="00957230" w:rsidRDefault="00E50514" w:rsidP="00957230">
      <w:pPr>
        <w:ind w:right="39"/>
        <w:rPr>
          <w:lang w:val="en-US"/>
        </w:rPr>
      </w:pPr>
      <w:bookmarkStart w:id="0" w:name="_GoBack"/>
      <w:bookmarkEnd w:id="0"/>
      <w:r>
        <w:rPr>
          <w:rFonts w:ascii="NobelCE Lt" w:hAnsi="NobelCE Lt"/>
          <w:sz w:val="24"/>
          <w:szCs w:val="24"/>
          <w:lang w:val="en-US"/>
        </w:rPr>
        <w:t>7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BA4840">
        <w:rPr>
          <w:rFonts w:ascii="NobelCE Lt" w:hAnsi="NobelCE Lt"/>
          <w:sz w:val="24"/>
          <w:szCs w:val="24"/>
          <w:lang w:val="en-US"/>
        </w:rPr>
        <w:t>MAJA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p w14:paraId="592C9CA1" w14:textId="5F4B6A38" w:rsidR="00C15001" w:rsidRPr="00E50514" w:rsidRDefault="00BA4840" w:rsidP="00BA4840">
      <w:pPr>
        <w:rPr>
          <w:rFonts w:ascii="NobelCE Lt" w:hAnsi="NobelCE Lt"/>
          <w:b/>
          <w:sz w:val="36"/>
          <w:szCs w:val="36"/>
          <w:lang w:val="en-US"/>
        </w:rPr>
      </w:pPr>
      <w:r w:rsidRPr="00E50514">
        <w:rPr>
          <w:rFonts w:ascii="NobelCE Lt" w:hAnsi="NobelCE Lt"/>
          <w:b/>
          <w:sz w:val="36"/>
          <w:szCs w:val="36"/>
          <w:lang w:val="en-US"/>
        </w:rPr>
        <w:t xml:space="preserve">Lexus RX L – </w:t>
      </w:r>
      <w:proofErr w:type="spellStart"/>
      <w:r w:rsidRPr="00E50514">
        <w:rPr>
          <w:rFonts w:ascii="NobelCE Lt" w:hAnsi="NobelCE Lt"/>
          <w:b/>
          <w:sz w:val="36"/>
          <w:szCs w:val="36"/>
          <w:lang w:val="en-US"/>
        </w:rPr>
        <w:t>mobilny</w:t>
      </w:r>
      <w:proofErr w:type="spellEnd"/>
      <w:r w:rsidRPr="00E50514">
        <w:rPr>
          <w:rFonts w:ascii="NobelCE Lt" w:hAnsi="NobelCE Lt"/>
          <w:b/>
          <w:sz w:val="36"/>
          <w:szCs w:val="36"/>
          <w:lang w:val="en-US"/>
        </w:rPr>
        <w:t xml:space="preserve"> salon </w:t>
      </w:r>
      <w:proofErr w:type="spellStart"/>
      <w:r w:rsidRPr="00E50514">
        <w:rPr>
          <w:rFonts w:ascii="NobelCE Lt" w:hAnsi="NobelCE Lt"/>
          <w:b/>
          <w:sz w:val="36"/>
          <w:szCs w:val="36"/>
          <w:lang w:val="en-US"/>
        </w:rPr>
        <w:t>Omotenashi</w:t>
      </w:r>
      <w:bookmarkEnd w:id="1"/>
      <w:proofErr w:type="spellEnd"/>
    </w:p>
    <w:p w14:paraId="65694E28" w14:textId="13E83617" w:rsidR="00BA4840" w:rsidRPr="00E50514" w:rsidRDefault="00BA4840" w:rsidP="00C15001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  <w:lang w:val="en-US"/>
        </w:rPr>
      </w:pPr>
    </w:p>
    <w:p w14:paraId="31B86BA2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Jako pierwszy w Europie Lexus z siedmioma miejscami w kabinie, nowy RX L otwiera szereg nowych możliwości, pozwalając bez żadnych kłopotów przewozić większą liczbę osób lub więcej ładunków o większych rozmiarach. </w:t>
      </w:r>
    </w:p>
    <w:p w14:paraId="0B05F50E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Wnętrze RX L zaprojektowano w sposób umożliwiający łatwe dostosowanie do potrzeb i maksymalne wykorzystanie potencjału, jaki stwarza większa długość nadwozia. Rzecz jasna, znakomitej funkcjonalności towarzyszy luksus i komfort, z którego słynie Lexus, a także gościnne podejście płynące z japońskiej tradycji </w:t>
      </w:r>
      <w:proofErr w:type="spellStart"/>
      <w:r w:rsidRPr="00BA4840">
        <w:rPr>
          <w:rFonts w:ascii="NobelCE Lt" w:hAnsi="NobelCE Lt"/>
          <w:sz w:val="24"/>
          <w:szCs w:val="24"/>
        </w:rPr>
        <w:t>omotenashi</w:t>
      </w:r>
      <w:proofErr w:type="spellEnd"/>
      <w:r w:rsidRPr="00BA4840">
        <w:rPr>
          <w:rFonts w:ascii="NobelCE Lt" w:hAnsi="NobelCE Lt"/>
          <w:sz w:val="24"/>
          <w:szCs w:val="24"/>
        </w:rPr>
        <w:t>, gwarantujące zaspokojenie potrzeb każdej z osób znajdujących się na pokładzie.</w:t>
      </w:r>
    </w:p>
    <w:p w14:paraId="7E96CD55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Gdy potrzebne są dwa dodatkowe fotele, tworzące ostatni, trzeci rząd – na rodzinną wycieczkę czy wieczorną wyprawę na miasto z przyjaciółmi – wystarczy po prostu nacisnąć przycisk, by fotele uniosły się gładko i przygotowały na przyjęcie pasażerów. Dla wygody użytkowników, jeden taki przycisk umieszczony jest przy drugim rzędzie foteli, a drugi w bagażniku. </w:t>
      </w:r>
    </w:p>
    <w:p w14:paraId="7A503F5E" w14:textId="2CB61F68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>Tak samo łatwo można złożyć fotele, by utworzyły płaską podłogę tylnej przestrzeni ładunkowej, której długość zwiększa się wówczas do 1067 mm. Przestrzeń ładunkowa wyposażona jest w pokrywę, którą w razie potrzeby można schować w specjalnym schowku pod podłogą bagażnika.</w:t>
      </w:r>
    </w:p>
    <w:p w14:paraId="739C0556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Twórcy RX L zadbali o najdrobniejsze szczegóły. Na przykład odchylane fotele drugiego rzędu są pozbawione wystających elementów, więc nie ma możliwości potknięcia się przy wsiadaniu i wysiadaniu. Dostęp do trzeciego rzędu siedzeń jest bardzo łatwy po przechyleniu i przesunięciu foteli drugiego rzędu ku przodowi za pomocą odpowiedniej dźwigni, a wygodny stopień ułatwia wsiadanie. </w:t>
      </w:r>
    </w:p>
    <w:p w14:paraId="4385AEC0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lastRenderedPageBreak/>
        <w:t>Po złożeniu tylnych siedzeń, fotele drugiego rzędu można przesuwać w zakresie 150 mm – większym, niż w którymkolwiek innym współczesnym SUV-</w:t>
      </w:r>
      <w:proofErr w:type="spellStart"/>
      <w:r w:rsidRPr="00BA4840">
        <w:rPr>
          <w:rFonts w:ascii="NobelCE Lt" w:hAnsi="NobelCE Lt"/>
          <w:sz w:val="24"/>
          <w:szCs w:val="24"/>
        </w:rPr>
        <w:t>ie</w:t>
      </w:r>
      <w:proofErr w:type="spellEnd"/>
      <w:r w:rsidRPr="00BA4840">
        <w:rPr>
          <w:rFonts w:ascii="NobelCE Lt" w:hAnsi="NobelCE Lt"/>
          <w:sz w:val="24"/>
          <w:szCs w:val="24"/>
        </w:rPr>
        <w:t>, co umożliwia pasażerom zajęcie komfortowej pozycji.</w:t>
      </w:r>
    </w:p>
    <w:p w14:paraId="7A8DD4FD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RX L, zaprojektowany specjalnie jako pojazd siedmiomiejscowy, zapewnia znakomity luksus, komfort i wygodę. Trójstrefowy system klimatyzacji umożliwia pasażerom siedzącym w trzecim rzędzie niezależne sterowanie ogrzewaniem i wentylacją za pomocą urządzeń regulacyjnych, które umieszczone są po obu stronach foteli. Może to także robić kierowca za pomocą ekranu multimedialnego. </w:t>
      </w:r>
    </w:p>
    <w:p w14:paraId="2E30D490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>Wielofunkcyjna konsola w środkowym podłokietniku trzeciego rzędu siedzeń udostępnia także dwa uchwyty na kubki, a także dwa gniazda USB, pozwalające np. dzieciom podłączać konsole do gier podczas długich podróży.</w:t>
      </w:r>
    </w:p>
    <w:p w14:paraId="22576C76" w14:textId="61DFA7AE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Wszystko to stanowi uzupełnienie bogatego wyposażenia, charakterystycznego dla rodziny Lexus RX. W zależności od wersji, może ono obejmować ekran multimedialno-nawigacyjny o przekątnej 12,3 cala, opracowany specjalnie dla tego modelu 15-głośnikowy system audio </w:t>
      </w:r>
      <w:proofErr w:type="spellStart"/>
      <w:r w:rsidRPr="00BA4840">
        <w:rPr>
          <w:rFonts w:ascii="NobelCE Lt" w:hAnsi="NobelCE Lt"/>
          <w:sz w:val="24"/>
          <w:szCs w:val="24"/>
        </w:rPr>
        <w:t>surround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firmy Mark Levinson, elektrycznie otwieraną i zamykaną pokrywę bagażnika z bezdotykowym sterowaniem, ogrzewane i wentylowane przednie fotele z elektryczną regulacją oraz pełne oświetlenie LED.</w:t>
      </w:r>
    </w:p>
    <w:p w14:paraId="0EE89DAC" w14:textId="78C5B583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BA4840">
        <w:rPr>
          <w:rFonts w:ascii="NobelCE Lt" w:hAnsi="NobelCE Lt"/>
          <w:sz w:val="24"/>
          <w:szCs w:val="24"/>
        </w:rPr>
        <w:t xml:space="preserve">Zadbano także o fundamentalne kwestie bezpieczeństwa – podobnie jak pięciomiejscowy RX, również RX L zdobył pięć gwiazdek w niezależnych testach zderzeniowych Euro NCAP. Najwyższemu poziomowi bezpieczeństwa biernego towarzyszą funkcje bezpieczeństwa czynnego, zintegrowane w pakiecie Lexus </w:t>
      </w:r>
      <w:proofErr w:type="spellStart"/>
      <w:r w:rsidRPr="00BA4840">
        <w:rPr>
          <w:rFonts w:ascii="NobelCE Lt" w:hAnsi="NobelCE Lt"/>
          <w:sz w:val="24"/>
          <w:szCs w:val="24"/>
        </w:rPr>
        <w:t>Safety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System +.  Należą do nich system ochrony </w:t>
      </w:r>
      <w:proofErr w:type="spellStart"/>
      <w:r w:rsidRPr="00BA4840">
        <w:rPr>
          <w:rFonts w:ascii="NobelCE Lt" w:hAnsi="NobelCE Lt"/>
          <w:sz w:val="24"/>
          <w:szCs w:val="24"/>
        </w:rPr>
        <w:t>przedzderzeniowej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PCS (</w:t>
      </w:r>
      <w:proofErr w:type="spellStart"/>
      <w:r w:rsidRPr="00BA4840">
        <w:rPr>
          <w:rFonts w:ascii="NobelCE Lt" w:hAnsi="NobelCE Lt"/>
          <w:sz w:val="24"/>
          <w:szCs w:val="24"/>
        </w:rPr>
        <w:t>Pre-Collision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System), adaptacyjny radarowy tempomat </w:t>
      </w:r>
      <w:proofErr w:type="spellStart"/>
      <w:r w:rsidRPr="00BA4840">
        <w:rPr>
          <w:rFonts w:ascii="NobelCE Lt" w:hAnsi="NobelCE Lt"/>
          <w:sz w:val="24"/>
          <w:szCs w:val="24"/>
        </w:rPr>
        <w:t>Dynamic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BA4840">
        <w:rPr>
          <w:rFonts w:ascii="NobelCE Lt" w:hAnsi="NobelCE Lt"/>
          <w:sz w:val="24"/>
          <w:szCs w:val="24"/>
        </w:rPr>
        <w:t>Cruise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Control oraz funkcje wspomagania utrzymywania pasa ruchu LKA (Lane </w:t>
      </w:r>
      <w:proofErr w:type="spellStart"/>
      <w:r w:rsidRPr="00BA4840">
        <w:rPr>
          <w:rFonts w:ascii="NobelCE Lt" w:hAnsi="NobelCE Lt"/>
          <w:sz w:val="24"/>
          <w:szCs w:val="24"/>
        </w:rPr>
        <w:t>Keeping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4840">
        <w:rPr>
          <w:rFonts w:ascii="NobelCE Lt" w:hAnsi="NobelCE Lt"/>
          <w:sz w:val="24"/>
          <w:szCs w:val="24"/>
        </w:rPr>
        <w:t>Assist</w:t>
      </w:r>
      <w:proofErr w:type="spellEnd"/>
      <w:r w:rsidRPr="00BA4840">
        <w:rPr>
          <w:rFonts w:ascii="NobelCE Lt" w:hAnsi="NobelCE Lt"/>
          <w:sz w:val="24"/>
          <w:szCs w:val="24"/>
        </w:rPr>
        <w:t>), rozpoznawania znaków drogowych (</w:t>
      </w:r>
      <w:proofErr w:type="spellStart"/>
      <w:r w:rsidRPr="00BA4840">
        <w:rPr>
          <w:rFonts w:ascii="NobelCE Lt" w:hAnsi="NobelCE Lt"/>
          <w:sz w:val="24"/>
          <w:szCs w:val="24"/>
        </w:rPr>
        <w:t>Traffic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4840">
        <w:rPr>
          <w:rFonts w:ascii="NobelCE Lt" w:hAnsi="NobelCE Lt"/>
          <w:sz w:val="24"/>
          <w:szCs w:val="24"/>
        </w:rPr>
        <w:t>Sign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BA4840">
        <w:rPr>
          <w:rFonts w:ascii="NobelCE Lt" w:hAnsi="NobelCE Lt"/>
          <w:sz w:val="24"/>
          <w:szCs w:val="24"/>
        </w:rPr>
        <w:t>Recognition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) i automatycznych świateł drogowych AHB (Automatic High </w:t>
      </w:r>
      <w:proofErr w:type="spellStart"/>
      <w:r w:rsidRPr="00BA4840">
        <w:rPr>
          <w:rFonts w:ascii="NobelCE Lt" w:hAnsi="NobelCE Lt"/>
          <w:sz w:val="24"/>
          <w:szCs w:val="24"/>
        </w:rPr>
        <w:t>Beam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, w wersji wyposażeniowej </w:t>
      </w:r>
      <w:proofErr w:type="spellStart"/>
      <w:r w:rsidRPr="00BA4840">
        <w:rPr>
          <w:rFonts w:ascii="NobelCE Lt" w:hAnsi="NobelCE Lt"/>
          <w:sz w:val="24"/>
          <w:szCs w:val="24"/>
        </w:rPr>
        <w:t>Executive</w:t>
      </w:r>
      <w:proofErr w:type="spellEnd"/>
      <w:r w:rsidRPr="00BA4840">
        <w:rPr>
          <w:rFonts w:ascii="NobelCE Lt" w:hAnsi="NobelCE Lt"/>
          <w:sz w:val="24"/>
          <w:szCs w:val="24"/>
        </w:rPr>
        <w:t>) lub adaptacyjnych świateł drogowych AHS (</w:t>
      </w:r>
      <w:proofErr w:type="spellStart"/>
      <w:r w:rsidRPr="00BA4840">
        <w:rPr>
          <w:rFonts w:ascii="NobelCE Lt" w:hAnsi="NobelCE Lt"/>
          <w:sz w:val="24"/>
          <w:szCs w:val="24"/>
        </w:rPr>
        <w:t>Adaptive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High </w:t>
      </w:r>
      <w:proofErr w:type="spellStart"/>
      <w:r w:rsidRPr="00BA4840">
        <w:rPr>
          <w:rFonts w:ascii="NobelCE Lt" w:hAnsi="NobelCE Lt"/>
          <w:sz w:val="24"/>
          <w:szCs w:val="24"/>
        </w:rPr>
        <w:t>Beam</w:t>
      </w:r>
      <w:proofErr w:type="spellEnd"/>
      <w:r w:rsidRPr="00BA4840">
        <w:rPr>
          <w:rFonts w:ascii="NobelCE Lt" w:hAnsi="NobelCE Lt"/>
          <w:sz w:val="24"/>
          <w:szCs w:val="24"/>
        </w:rPr>
        <w:t xml:space="preserve"> System, w wersji wyposażeniowej </w:t>
      </w:r>
      <w:proofErr w:type="spellStart"/>
      <w:r w:rsidRPr="00BA4840">
        <w:rPr>
          <w:rFonts w:ascii="NobelCE Lt" w:hAnsi="NobelCE Lt"/>
          <w:sz w:val="24"/>
          <w:szCs w:val="24"/>
        </w:rPr>
        <w:t>Luxury</w:t>
      </w:r>
      <w:proofErr w:type="spellEnd"/>
      <w:r w:rsidRPr="00BA4840">
        <w:rPr>
          <w:rFonts w:ascii="NobelCE Lt" w:hAnsi="NobelCE Lt"/>
          <w:sz w:val="24"/>
          <w:szCs w:val="24"/>
        </w:rPr>
        <w:t>).</w:t>
      </w:r>
    </w:p>
    <w:p w14:paraId="0CF588CF" w14:textId="77777777" w:rsidR="00BA4840" w:rsidRPr="00BA4840" w:rsidRDefault="00BA4840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E6FD6DD" w14:textId="77777777" w:rsidR="00BA4840" w:rsidRDefault="00BA4840" w:rsidP="00C15001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BA48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1622" w14:textId="77777777" w:rsidR="00E03057" w:rsidRDefault="00E03057">
      <w:pPr>
        <w:spacing w:after="0" w:line="240" w:lineRule="auto"/>
      </w:pPr>
      <w:r>
        <w:separator/>
      </w:r>
    </w:p>
  </w:endnote>
  <w:endnote w:type="continuationSeparator" w:id="0">
    <w:p w14:paraId="78072380" w14:textId="77777777" w:rsidR="00E03057" w:rsidRDefault="00E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E50514">
      <w:rPr>
        <w:rFonts w:cs="Nobel-Book"/>
        <w:noProof/>
      </w:rPr>
      <w:t>2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E50514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630C" w14:textId="77777777" w:rsidR="00E03057" w:rsidRDefault="00E03057">
      <w:pPr>
        <w:spacing w:after="0" w:line="240" w:lineRule="auto"/>
      </w:pPr>
      <w:r>
        <w:separator/>
      </w:r>
    </w:p>
  </w:footnote>
  <w:footnote w:type="continuationSeparator" w:id="0">
    <w:p w14:paraId="763DC7AD" w14:textId="77777777" w:rsidR="00E03057" w:rsidRDefault="00E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D5953"/>
    <w:rsid w:val="00BE1228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03057"/>
    <w:rsid w:val="00E26D83"/>
    <w:rsid w:val="00E50514"/>
    <w:rsid w:val="00E50CC7"/>
    <w:rsid w:val="00EC4B24"/>
    <w:rsid w:val="00EE121F"/>
    <w:rsid w:val="00EE7653"/>
    <w:rsid w:val="00F14B45"/>
    <w:rsid w:val="00F2004E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7EBF-6CA5-402E-8A75-1CA4467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94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13</cp:revision>
  <cp:lastPrinted>2017-10-11T08:42:00Z</cp:lastPrinted>
  <dcterms:created xsi:type="dcterms:W3CDTF">2018-03-02T15:02:00Z</dcterms:created>
  <dcterms:modified xsi:type="dcterms:W3CDTF">2018-04-27T05:55:00Z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