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D9" w:rsidRDefault="00624A9E">
      <w:pPr>
        <w:pStyle w:val="Lexusnormaltext"/>
      </w:pPr>
      <w:r>
        <w:t>11 stycznia 2016 r.</w:t>
      </w:r>
    </w:p>
    <w:p w:rsidR="001C58D9" w:rsidRDefault="00B719EC">
      <w:pPr>
        <w:pStyle w:val="Lexusheader"/>
      </w:pPr>
      <w:r>
        <w:rPr>
          <w:caps w:val="0"/>
        </w:rPr>
        <w:t>ŚWIATOWA PREMIERA CAŁKOWICIE NOWEGO LEXUSA LC 500 NA SALONIE MOTORYZACYJNYM W DETROIT 2016.</w:t>
      </w:r>
    </w:p>
    <w:p w:rsidR="00B719EC" w:rsidRPr="00B719EC" w:rsidRDefault="00B719EC" w:rsidP="00B719EC">
      <w:pPr>
        <w:pStyle w:val="Lexussubtitle"/>
        <w:rPr>
          <w:caps w:val="0"/>
        </w:rPr>
      </w:pPr>
      <w:r>
        <w:rPr>
          <w:caps w:val="0"/>
        </w:rPr>
        <w:t>UWODZICIELSKIE I EKSPRESYJNE LUKSUSOWE COUPE WYZNACZA NOWĄ EPOKĘ W OGÓLNOŚWIATOWYM SEGMENCIE PREMIUM</w:t>
      </w:r>
    </w:p>
    <w:p w:rsidR="00B719EC" w:rsidRDefault="00B719EC" w:rsidP="00B719EC">
      <w:pPr>
        <w:pStyle w:val="Lexusbullets"/>
      </w:pPr>
      <w:r>
        <w:t>Stylistyka, osiągi i kunszt wykonania stawiają ten samochód w gronie flagowych modeli marki Lexus.</w:t>
      </w:r>
    </w:p>
    <w:p w:rsidR="00B719EC" w:rsidRDefault="00B719EC" w:rsidP="00B719EC">
      <w:pPr>
        <w:pStyle w:val="Lexusbullets"/>
      </w:pPr>
      <w:r>
        <w:t>LC 500 wykorzystuje przyjętą przez markę now</w:t>
      </w:r>
      <w:r w:rsidR="007C078E">
        <w:t>y styl projektowania</w:t>
      </w:r>
      <w:r>
        <w:t>, zapowiadając</w:t>
      </w:r>
      <w:r w:rsidR="007C078E">
        <w:t>y</w:t>
      </w:r>
      <w:r>
        <w:t xml:space="preserve"> zwiększone możliwości w zakresie dynamiki i osiągów</w:t>
      </w:r>
    </w:p>
    <w:p w:rsidR="001C58D9" w:rsidRPr="00B719EC" w:rsidRDefault="00B719EC" w:rsidP="00B719EC">
      <w:pPr>
        <w:pStyle w:val="Lexusbullets"/>
      </w:pPr>
      <w:r>
        <w:t>Symbol nowej kultury tworzenia samochodów, zacieśniającej współpracę pomiędzy zespołami projektantów i inżynierów</w:t>
      </w:r>
    </w:p>
    <w:p w:rsidR="00B719EC" w:rsidRDefault="00B719EC" w:rsidP="00B719EC">
      <w:pPr>
        <w:spacing w:before="240"/>
        <w:jc w:val="both"/>
        <w:rPr>
          <w:rFonts w:ascii="Nobel-Book" w:hAnsi="Nobel-Book" w:cs="Nobel-Book"/>
          <w:color w:val="000000"/>
        </w:rPr>
      </w:pP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Gdy koncepcyjny Lexus LF-LC debiutował w roku 2012 na Północnoamerykańskim Międzynarodowym Salonie Motoryzacyjnym, prasa wierni klienci oraz entuzjaści marki zastanawiali się, czy ekscytująca stylistyka oraz niezwykłe proporcje jego bryły kiedykolwiek ewoluują w produkcyjne coupe 2+2. Obecnie, cztery lata po premierze tego fascynującego modelu koncepcyjnego, Lexus prezentuje częściowo wzorowane na nim, lecz całkowicie nowe luksusowe coupe LC 500. To prowokacyjne, atletycznie wystylizowane flagowe coupe stanowi jak dotąd najmocniejszy wyraz przyszłego kierunku produktowego marki.</w:t>
      </w:r>
    </w:p>
    <w:p w:rsidR="005278A7" w:rsidRDefault="00B719EC" w:rsidP="00B719EC">
      <w:pPr>
        <w:spacing w:before="240"/>
        <w:jc w:val="both"/>
        <w:rPr>
          <w:rFonts w:ascii="Nobel-Book" w:hAnsi="Nobel-Book" w:cs="Nobel-Book"/>
          <w:color w:val="000000"/>
        </w:rPr>
      </w:pPr>
      <w:r>
        <w:rPr>
          <w:rFonts w:ascii="Nobel-Book" w:hAnsi="Nobel-Book" w:cs="Nobel-Book"/>
          <w:color w:val="000000"/>
        </w:rPr>
        <w:t xml:space="preserve">Przez ostatnie pięć lat obserwowaliśmy gwałtowną ekspansję marki Lexus, czego przejawem było między innymi powstanie wewnątrz firmy globalnie ukierunkowanej struktury – Lexus International. Powstałe w tym czasie ekscytujące nowe modele, takie jak NX, RC czy IS, które charakteryzuje emocjonująca stylistyka i dynamiczne własnosci jezdne, przyczyniły się do wzmocnienia wizerunku marki wśród klientów.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Akio Toyoda był w samym centrum światowej ekspansji Lexusa, osobiście dbając o wysoki poziom współpracy pomiędzy zespołami projektantów, konstruktorów i marketingowców, aby produkty tej luksusowej marki skuteczniej wychodziły naprzeciw oczekiwaniom nowych generacji nabywców. „LC 500 był ważnym produktem zarówno dla marki Lexus, jak i dla mnie osobiście.” – mówi Akio Toyoda, szef brandingu i zwierzchnik zespołu wyścigowego marki Lexus. „Kilka lat temu postanowiliśmy ukształtować przyszłość marki za pomocą produktów, które będą emanowały większą pasją i będą się bardziej wyróżniały na rynku samochodów luksusowych. To flagowe luksusowe coupe marki swoimi </w:t>
      </w:r>
      <w:r>
        <w:rPr>
          <w:rFonts w:ascii="Nobel-Book" w:hAnsi="Nobel-Book" w:cs="Nobel-Book"/>
          <w:color w:val="000000"/>
        </w:rPr>
        <w:lastRenderedPageBreak/>
        <w:t xml:space="preserve">proporcjami oraz oszałamiającą stylistyką i osiągami dobitnie wyraża przyjęty przez nas kierunek emocjonalny i przyczyni się do zwiększenia ogólnoświatowej atrakcyjności marki.” </w:t>
      </w:r>
    </w:p>
    <w:p w:rsidR="005278A7" w:rsidRDefault="005278A7" w:rsidP="00B719EC">
      <w:pPr>
        <w:spacing w:before="240"/>
        <w:jc w:val="both"/>
        <w:rPr>
          <w:rFonts w:ascii="Nobel-Bold" w:hAnsi="Nobel-Bold" w:cs="Nobel-Bold"/>
          <w:color w:val="000000"/>
        </w:rPr>
      </w:pPr>
    </w:p>
    <w:p w:rsidR="00B719EC" w:rsidRPr="005278A7" w:rsidRDefault="005278A7" w:rsidP="00B719EC">
      <w:pPr>
        <w:spacing w:before="240"/>
        <w:jc w:val="both"/>
        <w:rPr>
          <w:rFonts w:ascii="Nobel-Bold" w:hAnsi="Nobel-Bold" w:cs="Nobel-Bold"/>
          <w:color w:val="000000"/>
        </w:rPr>
      </w:pPr>
      <w:r>
        <w:rPr>
          <w:rFonts w:ascii="Nobel-Bold" w:hAnsi="Nobel-Bold" w:cs="Nobel-Bold"/>
          <w:color w:val="000000"/>
        </w:rPr>
        <w:t>POŁĄCZONE ZESPOŁY PROJEKTANTÓW I KONSTRUKTORÓW</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Oprócz stylistyki i osiągów, nowy LC 500 wyróżnia się jako symbol doskonałych efektów, jakie może dać intensywna współpraca projektantów i inżynierów oraz ich zaangażowanie we wspólne przezwyciężanie przeszkód technicznych. Gdy Akio Toyoda stawiał przed nimi zadanie stworzenia tego specjalnego rodzaju samochodu, liczył na wspólne przezwyciężenie wielu przeszkód natury technologicznej, wzorniczej, materiałowej i fizycznej, które zwykle ograniczają możliwości realizacji przyjętych założeń technicznych lub wizji designerskich. </w:t>
      </w:r>
    </w:p>
    <w:p w:rsidR="005278A7" w:rsidRDefault="00B719EC" w:rsidP="00B719EC">
      <w:pPr>
        <w:spacing w:before="240"/>
        <w:jc w:val="both"/>
        <w:rPr>
          <w:rFonts w:ascii="Nobel-Book" w:hAnsi="Nobel-Book" w:cs="Nobel-Book"/>
          <w:color w:val="000000"/>
        </w:rPr>
      </w:pPr>
      <w:r>
        <w:rPr>
          <w:rFonts w:ascii="Nobel-Book" w:hAnsi="Nobel-Book" w:cs="Nobel-Book"/>
          <w:color w:val="000000"/>
        </w:rPr>
        <w:t xml:space="preserve">Siłą napędową przy tworzeniu LC 500 było dążenie do zrealizowania stylistycznych założeń, jakie postawił LF-LC, co sprawiło, że konstruktorzy nie ustawali w poszukiwaniu nowych rozwiązań, aby w wersji produkcyjnej zachować jak najwięcej z modelu koncepcyjnego. W dynamiczny proces tworzenia samochodu od najwcześniejszych etapów zaangażowani byli również projektanci, poznając cele inżynierskie, oceniając je ze swojego punktu widzenia i wspólnie poszukując rozwiązań. Ponieważ w przypadku LC 500 zbudowany był samochód prototypowy, ułatwiało to obu zespołom analizowanie idei wzorniczych i rozwiązań inżynierskich, a następnie doskonalenie kluczowych elementów.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Dla marki Lexus projekt LC 500 stał się czymś znacznie więcej niż tylko zwykłym tworzeniem nowego modelu coupe. LC 500, wraz z nowym podejściem do procesów konstruowania i ideologii designerskich symbolizuje nowy etap w historii marki Lexus. „Projektanci i inżynierowie wspólnie wypracowywali rozwiązania, pokonując jedna po drugiej napotykane trudności i przeszkody. Czuję, że osiągnęliśmy coś znacznie więcej niż tylko zachowanie ducha modelu koncepcyjnego” – stwierdza szef zespołu konstrukcyjnego, Koji Sato.  </w:t>
      </w:r>
    </w:p>
    <w:p w:rsidR="005278A7" w:rsidRDefault="005278A7" w:rsidP="00B719EC">
      <w:pPr>
        <w:spacing w:before="240"/>
        <w:jc w:val="both"/>
        <w:rPr>
          <w:rFonts w:ascii="Nobel-Book" w:hAnsi="Nobel-Book" w:cs="Nobel-Book"/>
          <w:color w:val="000000"/>
        </w:rPr>
      </w:pPr>
    </w:p>
    <w:p w:rsidR="00B719EC" w:rsidRPr="005278A7" w:rsidRDefault="005278A7" w:rsidP="00B719EC">
      <w:pPr>
        <w:spacing w:before="240"/>
        <w:jc w:val="both"/>
        <w:rPr>
          <w:rFonts w:ascii="Nobel-Bold" w:hAnsi="Nobel-Bold" w:cs="Nobel-Bold"/>
          <w:color w:val="000000"/>
        </w:rPr>
      </w:pPr>
      <w:r>
        <w:rPr>
          <w:rFonts w:ascii="Nobel-Bold" w:hAnsi="Nobel-Bold" w:cs="Nobel-Bold"/>
          <w:color w:val="000000"/>
        </w:rPr>
        <w:t>STYLISTYKA ZEWNĘTRZNA</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Już na pierwszy rzut oka wyraźnie widać, że współpraca projektantów z konstruktorami była bardzo owocna, zważywszy jak wiele myśli wzorniczych z LF-LC udało się przenieść do nowego LC 500. Model produkcyjny zachował szereg kluczowych elementów stylistycznych, proporcje bryły i optyczny dynamizm swojego koncepcyjnego pierwowzoru. W LC 500 przyciąga wzrok atletyczna, a przy tym aerodynamiczna bryła, zmysłowe krzywizny, emocjonujące formy, dostępny opcjonalnie dach z włókna węglowego (standardowo dach przeszklony) oraz niski i szeroki profil poprzeczny, tworząc razem wysoce funkcjonalny i emanujący pasją pakiet. </w:t>
      </w:r>
    </w:p>
    <w:p w:rsidR="005278A7" w:rsidRDefault="00B719EC" w:rsidP="00B719EC">
      <w:pPr>
        <w:spacing w:before="240"/>
        <w:jc w:val="both"/>
        <w:rPr>
          <w:rFonts w:ascii="Nobel-Book" w:hAnsi="Nobel-Book" w:cs="Nobel-Book"/>
          <w:color w:val="000000"/>
        </w:rPr>
      </w:pPr>
      <w:r>
        <w:rPr>
          <w:rFonts w:ascii="Nobel-Book" w:hAnsi="Nobel-Book" w:cs="Nobel-Book"/>
          <w:color w:val="000000"/>
        </w:rPr>
        <w:t xml:space="preserve">Przód LC 500 zdominowany jest przez masywną osłonę chłodnicy, będącą kolejną interpretacją tego charakterystycznego dla Lexusa elementu o klepsydrowo wciętym zarysie, z trzech stron wykończoną chromowanym obramowaniem i wypełnioną radykalnie nowym, 3-wymiarowym wzorem siatki, różnicującym optyczne naprężenie. Ukształtowane w formie litery L światła dzienne leżą poniżej nowego typu potrójnych reflektorów diodowych, których specjalna konstrukcja mieści jedne z najsmuklejszych soczewek, jakie można </w:t>
      </w:r>
      <w:r>
        <w:rPr>
          <w:rFonts w:ascii="Nobel-Book" w:hAnsi="Nobel-Book" w:cs="Nobel-Book"/>
          <w:color w:val="000000"/>
        </w:rPr>
        <w:lastRenderedPageBreak/>
        <w:t xml:space="preserve">spotkać w branży motoryzacyjnej, aby umożliwić niskie poprowadzenie linii pokrywy komory silnikowej i uzyskanie krótkiego przedniego zwisu nadwozia.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Istotnym elementem stylistyki zewnętrznej LC 500 są chwyty powietrza, wspomagające stateczność aerodynamiczną i funkcje chłodzenia. Atletyczną bryłę samochodu cechują szybko opadająca linia dachu, opływowy profil, duży rozstaw osi (2870 mm), krótkie zwisy (przedni 920 mm, tylny 970 mm) oraz niska linia maski. Sprężoną do skoku sylwetkę podkreślają uwodzicielskie krzywizny i płynnie poprowadzone linie przetłoczeń biegnące ku tyłowi, który zwieńczają wąskie, wielokierunkowe linie świateł z unikalnym efektem świetlnym pomagającym uzyskać sekwencyjny motyw litery L. Tylny dyfuzor i opcjonalny aktywny tylny spojler rozprowadzają strugi powietrza podczas szybkiej jazdy. Tarcze kół ze stopu aluminium wykonane są w technologii odlewu (20-calowe) lub odkuwania (opcjonalne 21-calowe). </w:t>
      </w:r>
    </w:p>
    <w:p w:rsidR="00B719EC" w:rsidRPr="005278A7" w:rsidRDefault="005278A7" w:rsidP="00B719EC">
      <w:pPr>
        <w:spacing w:before="240"/>
        <w:jc w:val="both"/>
        <w:rPr>
          <w:rFonts w:ascii="Nobel-Bold" w:hAnsi="Nobel-Bold" w:cs="Nobel-Bold"/>
          <w:color w:val="000000"/>
        </w:rPr>
      </w:pPr>
      <w:r>
        <w:rPr>
          <w:rFonts w:ascii="Nobel-Bold" w:hAnsi="Nobel-Bold" w:cs="Nobel-Bold"/>
          <w:color w:val="000000"/>
        </w:rPr>
        <w:t>WZORNICTWO WNĘTRZA</w:t>
      </w:r>
    </w:p>
    <w:p w:rsidR="005278A7" w:rsidRDefault="00B719EC" w:rsidP="00B719EC">
      <w:pPr>
        <w:spacing w:before="240"/>
        <w:jc w:val="both"/>
        <w:rPr>
          <w:rFonts w:ascii="Nobel-Book" w:hAnsi="Nobel-Book" w:cs="Nobel-Book"/>
          <w:color w:val="000000"/>
        </w:rPr>
      </w:pPr>
      <w:r>
        <w:rPr>
          <w:rFonts w:ascii="Nobel-Book" w:hAnsi="Nobel-Book" w:cs="Nobel-Book"/>
          <w:color w:val="000000"/>
        </w:rPr>
        <w:t xml:space="preserve">Wnętrze LC 500 współgra z luksusową dynamiką nadwozia, a jego rozplanowanie łączy elegancję z ukierunkowaniem na kokpit, Pozycja za kierownicą wręcz zaprasza do uduchowionej, sportowej jazdy i daje poczucie pewności, któremu sprzyja intuicyjne rozmieszczenie przełączników i wskaźników. Przy projektowaniu tego modelu zapewniono, aby biodra kierowcy znajdowały się jak najbliżej środka ciężkości LC 500, ponieważ w tej pozycji najlepiej wyczuwa się samochód. Przednie fotele doskonale podpierają ciało oraz zapewniają komfort na długich dystansach, zaś ich opcjonalna wersja sportowa oferuje szczególnie skuteczne trzymanie boczne na zakrętach.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Inżynierowie Lexusa dołożyli starań, aby stworzyć angażującą i wciągającą atmosferę miejsca kierowcy, dopracowując takie szczegóły, jak wielkość i kąt ustawienia kierownicy, umiejscowienie w niej wychylnych przełączników biegów wykonanych ze stopu magnezu wraz ze związanymi z nimi wrażeniami dotykowymi, czy opcjonalne obicia siedzeń z miękkiej skóry i materiału Alcantara. Ekskluzywne panele tapicerskie drzwi, środkowa konsola i miękko wyściełana deska rozdzielcza LC 500 zawierają kunsztowne elementy wykończeniowe wykonane w światowej sławy technice Takumi.</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„Na samym początku prac projektanci konsultowali się z konstruktorami, poznając ich wizję dynamiki LC 500 i przenosząc ją na projekt” – mówi Tadao Mori, szef zespołu projektantów tego modelu. „Za przykład może posłużyć wnikliwa uwaga, jaką poświęciliśmy elementom, na których skupia się wzrok kierowcy, by widziane przez niego powierzchnie tak ukształtować, aby pozostawały w zgodzie z jego mentalnym nastawieniem. Był to jeden z pierwszych przypadków tak ścisłego zaangażowania projektantów w zagadnienia inżynierskie, co pozwoliło nam lepiej zrozumieć stawiane cele i uwzględnić je w tworzonym projekcie samochodu.”</w:t>
      </w:r>
    </w:p>
    <w:p w:rsidR="00C32651" w:rsidRDefault="00C32651" w:rsidP="00B719EC">
      <w:pPr>
        <w:spacing w:before="240"/>
        <w:jc w:val="both"/>
        <w:rPr>
          <w:rFonts w:ascii="Nobel-Bold" w:hAnsi="Nobel-Bold" w:cs="Nobel-Bold"/>
          <w:color w:val="000000"/>
        </w:rPr>
      </w:pPr>
    </w:p>
    <w:p w:rsidR="00B719EC" w:rsidRPr="00C32651" w:rsidRDefault="00C32651" w:rsidP="00B719EC">
      <w:pPr>
        <w:spacing w:before="240"/>
        <w:jc w:val="both"/>
        <w:rPr>
          <w:rFonts w:ascii="Nobel-Bold" w:hAnsi="Nobel-Bold" w:cs="Nobel-Bold"/>
          <w:color w:val="000000"/>
        </w:rPr>
      </w:pPr>
      <w:r>
        <w:rPr>
          <w:rFonts w:ascii="Nobel-Bold" w:hAnsi="Nobel-Bold" w:cs="Nobel-Bold"/>
          <w:color w:val="000000"/>
        </w:rPr>
        <w:t>PODWOZIE</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W ramach kształtowania przyszłego obrazu marki Lexus, model LC 500 ma oferować dynamikę jazdy i charakter, jakimi nie mógł poszczycić się żaden wcześniejszy model tej marki. Dążenie do zapewnienia silniejszych i bardziej wyrafinowanych doznań za kierownicą stało się misją zespołu tworzącego ten samochód, który ponadto starał się utrzymać najwyższy komfort jazdy, jak przystało na flagowe coupe luksusowej marki.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lastRenderedPageBreak/>
        <w:t xml:space="preserve">LC 500 jest pierwszym Lexusem zbudowanym na zupełnie nowej platformie tylnonapędowej klasy premium, która nie była jeszcze wykorzystywana w żadnym z obecnych samochodów tej marki i stanowi element nowej globalnej strategii GA-L, dotyczącej budowy modeli luksusowych. Płyta podłogowa tego nowego coupe wyznacza kierunek dla przyszłych modeli z silnikiem umieszczonym z przodu i napędzanymi kołami tylnymi. Dążąc do wyostrzenia własności jezdnych, konstruktorzy LC 500 zajęli się podstawowymi aspektami związanymi z płytą podłogową, umieszczając większość dużych mas, w tym silnik i osoby w kabinie, możliwie blisko środka geometrycznego i jak najbliżej podwozia, aby uzyskać korzystniejsze położenie środka ciężkości.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Optymalizując rozkład mas w celu ograniczenia sił bezwładności, inżynierowie działali według określonego schematu. Obniżona została pozycja kierowcy, koła przesunięto do naroży samochodu z równoczesnym skróceniem zwisów nadwozia, a układ napędowy został cofnięty za linię przedniej osi jezdnej, bliżej środka pojazdu. LC 500 został wyposażony w odporne na przebicia opony samonośne typu run-flat, co dzięki wyeliminowaniu koła zapasowego pozwoliło zaoszczędzić na masie i skrócić zwisy – z korzyścią dla dynamiki. W celu lepszego rozłożenia mas, 12-woltowy akumulator przeniesiony został do bagażnika.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Wśród innych rozwiązań mających na celu optymalizację rozkładu mas i ich minimalizację można wymienić opcjonalny dach z włókna węglowego, aluminiowe poszycie drzwi zamocowane do ich wewnętrznego szkieletu z włókna węglowego oraz kompozytową podłogę bagażnika. LC 500 wyróżnia się spośród innych modeli Lexusa najszerszym zastosowaniem stali o podwyższonej wytrzymałości. Pozwoliło to uzyskać większą sztywność przy jednoczesnym obniżeniu masy samochodu oraz jej idealnym rozłożeniu – z korzyścią dla własności dynamicznych. LC 500 jest doskonale wyważonym samochodem, z niemal idealnym rozkładem obciążeń przód/tył, wynoszącym 52/48.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Aby uzyskać zamierzone parametry podwozia, stworzono najsztywniejsze w historii marki Lexus nadwozie samonośne. Zastosowanie w newralgicznych miejscach stali o podwyższonej wytrzymałości przyczyniło się do uzyskania wysokiej sztywności skrętnej, przez co LC 500 jest mniej podatny na tego typu odkształcenia niż wykonany w znacznej mierze z włókna węglowego supersamochód LFA. Opracowana płyta podłogowa wykazuje się odpornością na działanie sił zginających oraz wysoką sztywnością obszaru między osiami jezdnymi, dzięki czemu samochód charakteryzuje się stabilnością i przewidywalnością prowadzenia oraz błyskawiczną reakcją na ruchy kierownicy. Specjalne profile rozporowe w przedziale silnikowym (zwykle bardziej podatny na skręcanie segment podwozia), zastosowanie sztywnych, wykonanych ze stopu aluminium wieżyczek zawieszenia oraz dodanie pierścieniowych wzmocnień w okolicy tylnych błotników przyczyniło się do zwiększenia wytrzymałości kluczowych stref struktury nośnej.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Szczególną uwagę zwrócono na wielodrążkowe zawieszenie LC 500. Podwójne przeguby kuliste w górnych i dolnych wahaczach umożliwiają precyzyjne przenoszenie najdrobniejszych ruchów zarówno od strony układu kierowniczego, jak i nawierzchni drogi. Oprócz lepszego rozkładu obciążeń, zastosowanie podwójnych przegubów kulistych ułatwia zachowanie optymalnej geometrii ustawienia kół i dzięki temu ich pełniejszej kontroli, a ponadto pozwala uzyskać bardziej precyzyjną reakcję na ruchy kierownicy oraz mniejszy opór początkowy przy skręcie. W celu ograniczenia wielkości masy nieresorowanej i poprawy pracy zawieszenia, wszystkie oprócz jednego wahacze wykonane zostały z odkuwanego stopu aluminium. Pokazywany na targach prototypowy samochód wyposażony jest w ogumienie Michelin Sport o rozmiarach 245/40RF21 przednie i 275/35RF21 tylne. Wszystkie te elementy składają się na to, że LC 500 jest światowej klasy luksusowym </w:t>
      </w:r>
      <w:r>
        <w:rPr>
          <w:rFonts w:ascii="Nobel-Book" w:hAnsi="Nobel-Book" w:cs="Nobel-Book"/>
          <w:color w:val="000000"/>
        </w:rPr>
        <w:lastRenderedPageBreak/>
        <w:t>sportowym coupe, wykazującym się ostrą jak żyletka reakcją, niezwykle wyważonym prowadzeniem oraz statecznością na podobieństwo skały. Jego nowoopracowana płyta podłogowa będzie nadal udoskonalana i rozwijana.</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Said Sato: „Poświęciliśmy ponad trzykrotnie więcej niż zwykle czasu na doprowadzenie do maksymalnie liniowej charakterystyki układu kierowniczego oraz uzyskanie idealnie wyważonego wyczucia drogi. Nasze wysiłki ukierunkowaliśmy także na odpowiednią sztywność zawieszenia i jego optymalną geometrię. Dzięki nowym rozwiązaniem uzyskaliśmy najwyższej klasy zawieszenie, trzymające sztywno nadwozie i niepodatne na poprzeczne siły bezwładności.”</w:t>
      </w:r>
    </w:p>
    <w:p w:rsidR="00B1601B" w:rsidRDefault="00B1601B" w:rsidP="00B719EC">
      <w:pPr>
        <w:spacing w:before="240"/>
        <w:jc w:val="both"/>
        <w:rPr>
          <w:rFonts w:ascii="Nobel-Book" w:hAnsi="Nobel-Book" w:cs="Nobel-Book"/>
          <w:color w:val="000000"/>
        </w:rPr>
      </w:pPr>
    </w:p>
    <w:p w:rsidR="00B719EC" w:rsidRPr="00B1601B" w:rsidRDefault="00781D05" w:rsidP="00B719EC">
      <w:pPr>
        <w:spacing w:before="240"/>
        <w:jc w:val="both"/>
        <w:rPr>
          <w:rFonts w:ascii="Nobel-Bold" w:hAnsi="Nobel-Bold" w:cs="Nobel-Bold"/>
          <w:color w:val="000000"/>
        </w:rPr>
      </w:pPr>
      <w:r>
        <w:rPr>
          <w:rFonts w:ascii="Nobel-Bold" w:hAnsi="Nobel-Bold" w:cs="Nobel-Bold"/>
          <w:color w:val="000000"/>
        </w:rPr>
        <w:t>UKŁAD NAPĘDOWY</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Napęd kół tylnych w LC 500 realizowany jest za pośrednictwem nowoopracowanych i doskonale zestrojonych komponentów, które minimalizują straty przekazywanej mocy. Sercem nowego LC 500 jest sprawdzony, wysokoobrotowy, 5-litrowy silnik V8, który znalazł się również w RC-F oraz GS-F. Wolnossąca V8 została wybrana ze względu na płynną i liniową reakcję na przepustnicę oraz pobudzający zmysły odgłos pracy. 32-zaworowa, wykonana w całości ze stopów aluminium jednostka rozwija moc 467 KM i moment obrotowy 528 Nm. Konstrukcja tego nowego silnika powstała z myślą o trwałości i niskiej masie, zaś odkuwane z wysokowytrzymałego i lekkiego materiału korbowody wraz z tytanowymi zaworami umożliwiają rozwijanie wysokich prędkości obrotowych. Silnik LC 500 ma podwójne kanały dolotowe, co poprawia sprawność napełniania cylindrów i jednocześnie składa się na fantastyczny odgłos pracy. Wolnossąca jednostka idealnie współgra z doskonale wyważonym sportowym coupe, ponieważ jej liniowa charakterystyka ułatwia kontrolę rozwijanej mocy i jest źródłem emocjonujących doznań za kierownicą.</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Podczas rozruchu uruchamiane są specjalne zawory modulujące akustykę układu wydechowego, by uzyskać efekt potężnego pomruku budzącego się do życia silnika LC 500. Z kolei podczas przyspieszania generator akustyczny przekształca chrapliwą melodię silnika w mocne brzmienie, który wyróżnia LC 500 spośród rywali w jego segmencie.</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Za przekazywanie mocy na tylne koła odpowiada nowoopracowana 10-stopniowa automatyczna skrzynia biegów, która jako pierwsza w świecie samochodów luksusowych może konkurować czasem przełączania biegów z konstrukcjami dwusprzęgłowymi. Jest ona mniejsza i lżejsza od niektórych obecnych skrzyń 8-stopniowych. Szeroki zakres przełożeń realizowanych przez 10 gęsto zestopniowanych biegów idealnie sprawdza się we wszelkiego rodzaju formach jazdy, w każdych warunkach zapewniając optymalne przełożenie. Skrzynia biegów wyposażona jest w nowy sterownik elektryczny, którego oprogramowanie przewiduje działania kierowcy, nieustannie monitorując przepustnicę, hamulce i poprzeczne siły bezwładności.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Nowa skrzynia biegów jest tylko jednym z kluczowych elementów samochodu, który oprócz tego dysponuje wszelkimi niezbędnymi atrybutami związanymi z dynamiką, takimi jak odpowiednio dobrane i harmonijnie współgrające w warunkach sportowej jazdy charakterystyki silnika, układu hamulcowego i układu kierowniczego. Kierowcy docenią kontrolowaną równowagę pomiędzy błyskawiczną i płynną zmianą przełożeń, liniowym narastaniem prędkości i jej wytracaniem realizowanym przez 6-tloczkowe zaciski hamulcowe.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lastRenderedPageBreak/>
        <w:t>Rozwiązania zastosowane w konstrukcji płyty podłogowej i układu napędowego LC 500 zaowocowały osiągami i dynamiką niespotykanymi wśród czteroosobowych modeli coupe: czas rozpędzania od 0 do 60 mph wynosi niespełna 4,5 sekundy.</w:t>
      </w:r>
    </w:p>
    <w:p w:rsidR="00B1601B" w:rsidRDefault="00B1601B" w:rsidP="00B719EC">
      <w:pPr>
        <w:spacing w:before="240"/>
        <w:jc w:val="both"/>
        <w:rPr>
          <w:rFonts w:ascii="Nobel-Book" w:hAnsi="Nobel-Book" w:cs="Nobel-Book"/>
          <w:color w:val="000000"/>
        </w:rPr>
      </w:pPr>
    </w:p>
    <w:p w:rsidR="00B719EC" w:rsidRPr="00B1601B" w:rsidRDefault="00B1601B" w:rsidP="00B719EC">
      <w:pPr>
        <w:spacing w:before="240"/>
        <w:jc w:val="both"/>
        <w:rPr>
          <w:rFonts w:ascii="Nobel-Bold" w:hAnsi="Nobel-Bold" w:cs="Nobel-Bold"/>
          <w:color w:val="000000"/>
        </w:rPr>
      </w:pPr>
      <w:r>
        <w:rPr>
          <w:rFonts w:ascii="Nobel-Bold" w:hAnsi="Nobel-Bold" w:cs="Nobel-Bold"/>
          <w:color w:val="000000"/>
        </w:rPr>
        <w:t>WYPOSAŻENIE ELEKTRONICZNE KABINY</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We flagowym coupe zadebiutuje pakiet multimedialny Lexus Multimedia 2017, wyposażony w unowocześnione, szybciej działające i bardziej elastyczne oprogramowanie, umożliwiające przyszłe modyfikacje oraz graficzną komunikację z użytkownikiem. Wnętrze kabiny umożliwi również oddawanie się wyjątkowym doznaniom muzycznym: oprócz opcjonalnego audiofilskiego zestawu Mark Levinson, jako standardowe wyposażenie wprowadzony został nowy, wysokiej klasy zestaw audio firmy Pioneer. Starając się uzyskać jak najlepsze parametry akustyczne wnętrza, specjaliści od inżynierii dźwięku z firmy Pioneer wspólnie z projektantami kabiny i nadwozia LC 500 analizowali środowisko akustyczne wnętrza tego samochodu i zmiany jakim podlega ono podczas jazdy. </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LC 500 wyposażony jest również w kompleksowy pakiet bezpieczeństwa Lexus Safety System +, integrujący szereg układów i funkcji odpowiedzialnych za bezpieczeństwo czynne: </w:t>
      </w:r>
      <w:r w:rsidR="007C078E">
        <w:rPr>
          <w:rFonts w:ascii="Nobel-Book" w:hAnsi="Nobel-Book" w:cs="Nobel-Book"/>
          <w:color w:val="000000"/>
        </w:rPr>
        <w:t>system ochrony przedzderzeniowej</w:t>
      </w:r>
      <w:r>
        <w:rPr>
          <w:rFonts w:ascii="Nobel-Book" w:hAnsi="Nobel-Book" w:cs="Nobel-Book"/>
          <w:color w:val="000000"/>
        </w:rPr>
        <w:t xml:space="preserve"> (PCS) pomagający unikać kolizji i ograniczać ich skutki; wspomaganie trzymania pasa ruchu (LKA) ograniczające ryzyko niekontrolowanego zjechania z obranego pasa ruchu; funkcja automatycznych świateł drogowych (AHB), pomagająca zachować maksymalną widoczność do przodu podczas jazdy po zmroku; oraz pełnozakresowy układ dynamicznej kontroli prędkości z detekcją radarową (DRCC).</w:t>
      </w:r>
    </w:p>
    <w:p w:rsidR="00B719EC" w:rsidRPr="00B719EC" w:rsidRDefault="00B719EC" w:rsidP="00B719EC">
      <w:pPr>
        <w:spacing w:before="240"/>
        <w:jc w:val="both"/>
        <w:rPr>
          <w:rFonts w:ascii="Nobel-Book" w:hAnsi="Nobel-Book" w:cs="Nobel-Book"/>
          <w:color w:val="000000"/>
        </w:rPr>
      </w:pPr>
      <w:r>
        <w:rPr>
          <w:rFonts w:ascii="Nobel-Book" w:hAnsi="Nobel-Book" w:cs="Nobel-Book"/>
          <w:color w:val="000000"/>
        </w:rPr>
        <w:t xml:space="preserve">W ramach wielokierunkowego podejścia do kwestii bezpieczeństwa czynnego pakiet Lexus Safety System + łączy funkcje realizowane przez pracujący w zakresie fal milimetrowych czujnik radarowy z funkcjami kamery wizyjnej, zapewniając wysoki poziom niezawodności i sprawności działania. </w:t>
      </w:r>
    </w:p>
    <w:p w:rsidR="00B719EC" w:rsidRDefault="00B719EC" w:rsidP="00B719EC">
      <w:pPr>
        <w:spacing w:before="240"/>
        <w:jc w:val="both"/>
        <w:rPr>
          <w:rFonts w:ascii="Nobel-Book" w:hAnsi="Nobel-Book" w:cs="Nobel-Book"/>
          <w:color w:val="000000"/>
        </w:rPr>
      </w:pPr>
    </w:p>
    <w:tbl>
      <w:tblPr>
        <w:tblW w:w="0" w:type="auto"/>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left w:w="28" w:type="dxa"/>
          <w:right w:w="28" w:type="dxa"/>
        </w:tblCellMar>
        <w:tblLook w:val="01E0" w:firstRow="1" w:lastRow="1" w:firstColumn="1" w:lastColumn="1" w:noHBand="0" w:noVBand="0"/>
      </w:tblPr>
      <w:tblGrid>
        <w:gridCol w:w="2580"/>
        <w:gridCol w:w="6434"/>
      </w:tblGrid>
      <w:tr w:rsidR="001C58D9" w:rsidRPr="005278A7" w:rsidTr="005278A7">
        <w:tc>
          <w:tcPr>
            <w:tcW w:w="2580" w:type="dxa"/>
            <w:shd w:val="clear" w:color="auto" w:fill="BFBFBF" w:themeFill="background1" w:themeFillShade="BF"/>
          </w:tcPr>
          <w:p w:rsidR="001C58D9" w:rsidRPr="005278A7" w:rsidRDefault="005278A7" w:rsidP="001C58D9">
            <w:pPr>
              <w:jc w:val="both"/>
              <w:rPr>
                <w:rFonts w:ascii="Nobel-Bold" w:hAnsi="Nobel-Bold" w:cs="Nobel-Bold"/>
                <w:color w:val="000000"/>
                <w:sz w:val="18"/>
                <w:szCs w:val="18"/>
              </w:rPr>
            </w:pPr>
            <w:r>
              <w:rPr>
                <w:rFonts w:ascii="Nobel-Bold" w:hAnsi="Nobel-Bold" w:cs="Nobel-Bold"/>
                <w:color w:val="000000"/>
                <w:sz w:val="18"/>
                <w:szCs w:val="18"/>
              </w:rPr>
              <w:t>DANE TECHNICZNE</w:t>
            </w:r>
          </w:p>
        </w:tc>
        <w:tc>
          <w:tcPr>
            <w:tcW w:w="6434" w:type="dxa"/>
            <w:shd w:val="clear" w:color="auto" w:fill="BFBFBF" w:themeFill="background1" w:themeFillShade="BF"/>
          </w:tcPr>
          <w:p w:rsidR="001C58D9" w:rsidRPr="005278A7" w:rsidRDefault="005278A7" w:rsidP="001C58D9">
            <w:pPr>
              <w:jc w:val="both"/>
              <w:rPr>
                <w:rFonts w:ascii="Nobel-Bold" w:hAnsi="Nobel-Bold" w:cs="Nobel-Bold"/>
                <w:color w:val="000000"/>
                <w:sz w:val="18"/>
                <w:szCs w:val="18"/>
              </w:rPr>
            </w:pPr>
            <w:r>
              <w:rPr>
                <w:rFonts w:ascii="Nobel-Bold" w:hAnsi="Nobel-Bold" w:cs="Nobel-Bold"/>
                <w:color w:val="000000"/>
                <w:sz w:val="18"/>
                <w:szCs w:val="18"/>
              </w:rPr>
              <w:t>LC 500</w:t>
            </w:r>
          </w:p>
        </w:tc>
      </w:tr>
      <w:tr w:rsidR="001C58D9" w:rsidRPr="001C58D9" w:rsidTr="005278A7">
        <w:tc>
          <w:tcPr>
            <w:tcW w:w="2580" w:type="dxa"/>
            <w:shd w:val="clear" w:color="auto" w:fill="auto"/>
          </w:tcPr>
          <w:p w:rsidR="001C58D9" w:rsidRPr="001C58D9" w:rsidRDefault="00B719EC" w:rsidP="001C58D9">
            <w:pPr>
              <w:jc w:val="both"/>
              <w:rPr>
                <w:rFonts w:ascii="Nobel-Book" w:hAnsi="Nobel-Book" w:cs="Nobel-Book"/>
                <w:color w:val="000000"/>
                <w:sz w:val="18"/>
                <w:szCs w:val="18"/>
              </w:rPr>
            </w:pPr>
            <w:r>
              <w:rPr>
                <w:rFonts w:ascii="Nobel-Book" w:hAnsi="Nobel-Book" w:cs="Nobel-Book"/>
                <w:color w:val="000000"/>
                <w:sz w:val="18"/>
                <w:szCs w:val="18"/>
              </w:rPr>
              <w:t>Moc</w:t>
            </w:r>
          </w:p>
        </w:tc>
        <w:tc>
          <w:tcPr>
            <w:tcW w:w="6434" w:type="dxa"/>
            <w:shd w:val="clear" w:color="auto" w:fill="auto"/>
          </w:tcPr>
          <w:p w:rsidR="001C58D9" w:rsidRPr="001C58D9" w:rsidRDefault="00B719EC" w:rsidP="005278A7">
            <w:pPr>
              <w:jc w:val="both"/>
              <w:rPr>
                <w:rFonts w:ascii="Nobel-Book" w:hAnsi="Nobel-Book" w:cs="Nobel-Book"/>
                <w:color w:val="000000"/>
                <w:sz w:val="18"/>
                <w:szCs w:val="18"/>
              </w:rPr>
            </w:pPr>
            <w:r>
              <w:rPr>
                <w:rFonts w:ascii="Nobel-Book" w:hAnsi="Nobel-Book" w:cs="Nobel-Book"/>
                <w:color w:val="000000"/>
                <w:sz w:val="18"/>
                <w:szCs w:val="18"/>
              </w:rPr>
              <w:t>473 KM przy 7100 obr/min</w:t>
            </w:r>
          </w:p>
        </w:tc>
      </w:tr>
      <w:tr w:rsidR="00B719EC" w:rsidRPr="001C58D9" w:rsidTr="005278A7">
        <w:tc>
          <w:tcPr>
            <w:tcW w:w="2580"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Moment obrotowy</w:t>
            </w:r>
          </w:p>
        </w:tc>
        <w:tc>
          <w:tcPr>
            <w:tcW w:w="6434" w:type="dxa"/>
            <w:shd w:val="clear" w:color="auto" w:fill="auto"/>
          </w:tcPr>
          <w:p w:rsidR="00B719EC" w:rsidRDefault="00B719EC" w:rsidP="005278A7">
            <w:pPr>
              <w:jc w:val="both"/>
              <w:rPr>
                <w:rFonts w:ascii="Nobel-Book" w:hAnsi="Nobel-Book" w:cs="Nobel-Book"/>
                <w:color w:val="000000"/>
                <w:sz w:val="18"/>
                <w:szCs w:val="18"/>
              </w:rPr>
            </w:pPr>
            <w:r>
              <w:rPr>
                <w:rFonts w:ascii="Nobel-Book" w:hAnsi="Nobel-Book" w:cs="Nobel-Book"/>
                <w:color w:val="000000"/>
                <w:sz w:val="18"/>
                <w:szCs w:val="18"/>
              </w:rPr>
              <w:t>527 Nm przy 4800 obr/min</w:t>
            </w:r>
          </w:p>
        </w:tc>
      </w:tr>
      <w:tr w:rsidR="00B719EC" w:rsidRPr="001C58D9" w:rsidTr="005278A7">
        <w:tc>
          <w:tcPr>
            <w:tcW w:w="2580"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Skrzynia biegów</w:t>
            </w:r>
          </w:p>
        </w:tc>
        <w:tc>
          <w:tcPr>
            <w:tcW w:w="6434"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10-stopniowa automatyczna</w:t>
            </w:r>
          </w:p>
        </w:tc>
      </w:tr>
      <w:tr w:rsidR="00B719EC" w:rsidRPr="001C58D9" w:rsidTr="005278A7">
        <w:tc>
          <w:tcPr>
            <w:tcW w:w="2580"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Liczba miejsc</w:t>
            </w:r>
          </w:p>
        </w:tc>
        <w:tc>
          <w:tcPr>
            <w:tcW w:w="6434"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4</w:t>
            </w:r>
          </w:p>
        </w:tc>
      </w:tr>
      <w:tr w:rsidR="00B719EC" w:rsidRPr="001C58D9" w:rsidTr="005278A7">
        <w:tc>
          <w:tcPr>
            <w:tcW w:w="2580" w:type="dxa"/>
            <w:shd w:val="clear" w:color="auto" w:fill="auto"/>
          </w:tcPr>
          <w:p w:rsidR="00B719EC" w:rsidRDefault="005278A7" w:rsidP="001C58D9">
            <w:pPr>
              <w:jc w:val="both"/>
              <w:rPr>
                <w:rFonts w:ascii="Nobel-Book" w:hAnsi="Nobel-Book" w:cs="Nobel-Book"/>
                <w:color w:val="000000"/>
                <w:sz w:val="18"/>
                <w:szCs w:val="18"/>
              </w:rPr>
            </w:pPr>
            <w:r>
              <w:rPr>
                <w:rFonts w:ascii="Nobel-Book" w:hAnsi="Nobel-Book" w:cs="Nobel-Book"/>
                <w:color w:val="000000"/>
                <w:sz w:val="18"/>
                <w:szCs w:val="18"/>
              </w:rPr>
              <w:t>Długość całkowita</w:t>
            </w:r>
          </w:p>
        </w:tc>
        <w:tc>
          <w:tcPr>
            <w:tcW w:w="6434"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4 760 mm</w:t>
            </w:r>
          </w:p>
        </w:tc>
      </w:tr>
      <w:tr w:rsidR="00B719EC" w:rsidRPr="001C58D9" w:rsidTr="005278A7">
        <w:tc>
          <w:tcPr>
            <w:tcW w:w="2580"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Szerokość</w:t>
            </w:r>
          </w:p>
        </w:tc>
        <w:tc>
          <w:tcPr>
            <w:tcW w:w="6434"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1 920 mm</w:t>
            </w:r>
          </w:p>
        </w:tc>
      </w:tr>
      <w:tr w:rsidR="00B719EC" w:rsidRPr="001C58D9" w:rsidTr="005278A7">
        <w:tc>
          <w:tcPr>
            <w:tcW w:w="2580"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Wysokość</w:t>
            </w:r>
          </w:p>
        </w:tc>
        <w:tc>
          <w:tcPr>
            <w:tcW w:w="6434"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1 345 mm</w:t>
            </w:r>
          </w:p>
        </w:tc>
      </w:tr>
      <w:tr w:rsidR="00B719EC" w:rsidRPr="001C58D9" w:rsidTr="005278A7">
        <w:tc>
          <w:tcPr>
            <w:tcW w:w="2580"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Rozstaw osi</w:t>
            </w:r>
          </w:p>
        </w:tc>
        <w:tc>
          <w:tcPr>
            <w:tcW w:w="6434"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2 870 mm</w:t>
            </w:r>
          </w:p>
        </w:tc>
      </w:tr>
      <w:tr w:rsidR="00B719EC" w:rsidRPr="001C58D9" w:rsidTr="005278A7">
        <w:tc>
          <w:tcPr>
            <w:tcW w:w="2580"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Przeniesienie napędu</w:t>
            </w:r>
          </w:p>
        </w:tc>
        <w:tc>
          <w:tcPr>
            <w:tcW w:w="6434"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Napęd na koła tylne</w:t>
            </w:r>
          </w:p>
        </w:tc>
      </w:tr>
      <w:tr w:rsidR="00B719EC" w:rsidRPr="001C58D9" w:rsidTr="005278A7">
        <w:tc>
          <w:tcPr>
            <w:tcW w:w="2580"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Zwis nadwozia</w:t>
            </w:r>
          </w:p>
        </w:tc>
        <w:tc>
          <w:tcPr>
            <w:tcW w:w="6434"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Przód: 920 mm – Tył: 970 mm</w:t>
            </w:r>
          </w:p>
        </w:tc>
      </w:tr>
      <w:tr w:rsidR="00B719EC" w:rsidRPr="001C58D9" w:rsidTr="005278A7">
        <w:tc>
          <w:tcPr>
            <w:tcW w:w="2580"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Rozmiar kół (przód i tył)</w:t>
            </w:r>
          </w:p>
        </w:tc>
        <w:tc>
          <w:tcPr>
            <w:tcW w:w="6434" w:type="dxa"/>
            <w:shd w:val="clear" w:color="auto" w:fill="auto"/>
          </w:tcPr>
          <w:p w:rsidR="00B719EC" w:rsidRDefault="00B719EC" w:rsidP="00B719EC">
            <w:pPr>
              <w:jc w:val="both"/>
              <w:rPr>
                <w:rFonts w:ascii="Nobel-Book" w:hAnsi="Nobel-Book" w:cs="Nobel-Book"/>
                <w:color w:val="000000"/>
                <w:sz w:val="18"/>
                <w:szCs w:val="18"/>
              </w:rPr>
            </w:pPr>
            <w:r>
              <w:rPr>
                <w:rFonts w:ascii="Nobel-Book" w:hAnsi="Nobel-Book" w:cs="Nobel-Book"/>
                <w:color w:val="000000"/>
                <w:sz w:val="18"/>
                <w:szCs w:val="18"/>
              </w:rPr>
              <w:t>1. 21 cali</w:t>
            </w:r>
          </w:p>
          <w:p w:rsidR="00B719EC" w:rsidRDefault="00B719EC" w:rsidP="00B719EC">
            <w:pPr>
              <w:jc w:val="both"/>
              <w:rPr>
                <w:rFonts w:ascii="Nobel-Book" w:hAnsi="Nobel-Book" w:cs="Nobel-Book"/>
                <w:color w:val="000000"/>
                <w:sz w:val="18"/>
                <w:szCs w:val="18"/>
              </w:rPr>
            </w:pPr>
            <w:r>
              <w:rPr>
                <w:rFonts w:ascii="Nobel-Book" w:hAnsi="Nobel-Book" w:cs="Nobel-Book"/>
                <w:color w:val="000000"/>
                <w:sz w:val="18"/>
                <w:szCs w:val="18"/>
              </w:rPr>
              <w:t>2. 20 cali</w:t>
            </w:r>
          </w:p>
          <w:p w:rsidR="00B719EC" w:rsidRDefault="00B719EC" w:rsidP="00B719EC">
            <w:pPr>
              <w:jc w:val="both"/>
              <w:rPr>
                <w:rFonts w:ascii="Nobel-Book" w:hAnsi="Nobel-Book" w:cs="Nobel-Book"/>
                <w:color w:val="000000"/>
                <w:sz w:val="18"/>
                <w:szCs w:val="18"/>
              </w:rPr>
            </w:pPr>
            <w:r>
              <w:rPr>
                <w:rFonts w:ascii="Nobel-Book" w:hAnsi="Nobel-Book" w:cs="Nobel-Book"/>
                <w:color w:val="000000"/>
                <w:sz w:val="18"/>
                <w:szCs w:val="18"/>
              </w:rPr>
              <w:t>3. 20 cali</w:t>
            </w:r>
          </w:p>
        </w:tc>
      </w:tr>
      <w:tr w:rsidR="00B719EC" w:rsidRPr="001C58D9" w:rsidTr="005278A7">
        <w:tc>
          <w:tcPr>
            <w:tcW w:w="2580" w:type="dxa"/>
            <w:shd w:val="clear" w:color="auto" w:fill="auto"/>
          </w:tcPr>
          <w:p w:rsidR="00B719EC" w:rsidRDefault="00B719EC" w:rsidP="001C58D9">
            <w:pPr>
              <w:jc w:val="both"/>
              <w:rPr>
                <w:rFonts w:ascii="Nobel-Book" w:hAnsi="Nobel-Book" w:cs="Nobel-Book"/>
                <w:color w:val="000000"/>
                <w:sz w:val="18"/>
                <w:szCs w:val="18"/>
              </w:rPr>
            </w:pPr>
            <w:r>
              <w:rPr>
                <w:rFonts w:ascii="Nobel-Book" w:hAnsi="Nobel-Book" w:cs="Nobel-Book"/>
                <w:color w:val="000000"/>
                <w:sz w:val="18"/>
                <w:szCs w:val="18"/>
              </w:rPr>
              <w:t>Rozmiar opon</w:t>
            </w:r>
          </w:p>
        </w:tc>
        <w:tc>
          <w:tcPr>
            <w:tcW w:w="6434" w:type="dxa"/>
            <w:shd w:val="clear" w:color="auto" w:fill="auto"/>
          </w:tcPr>
          <w:p w:rsidR="005278A7" w:rsidRPr="007C078E" w:rsidRDefault="005278A7" w:rsidP="005278A7">
            <w:pPr>
              <w:jc w:val="both"/>
              <w:rPr>
                <w:rFonts w:ascii="Nobel-Book" w:hAnsi="Nobel-Book" w:cs="Nobel-Book"/>
                <w:color w:val="000000"/>
                <w:sz w:val="18"/>
                <w:szCs w:val="18"/>
                <w:lang w:val="en-US"/>
              </w:rPr>
            </w:pPr>
            <w:r w:rsidRPr="007C078E">
              <w:rPr>
                <w:rFonts w:ascii="Nobel-Book" w:hAnsi="Nobel-Book" w:cs="Nobel-Book"/>
                <w:color w:val="000000"/>
                <w:sz w:val="18"/>
                <w:szCs w:val="18"/>
                <w:lang w:val="en-US"/>
              </w:rPr>
              <w:t>1. P: 245/40 RF21, T: 275/35 RF21</w:t>
            </w:r>
          </w:p>
          <w:p w:rsidR="005278A7" w:rsidRPr="007C078E" w:rsidRDefault="005278A7" w:rsidP="005278A7">
            <w:pPr>
              <w:jc w:val="both"/>
              <w:rPr>
                <w:rFonts w:ascii="Nobel-Book" w:hAnsi="Nobel-Book" w:cs="Nobel-Book"/>
                <w:color w:val="000000"/>
                <w:sz w:val="18"/>
                <w:szCs w:val="18"/>
                <w:lang w:val="en-US"/>
              </w:rPr>
            </w:pPr>
            <w:r w:rsidRPr="007C078E">
              <w:rPr>
                <w:rFonts w:ascii="Nobel-Book" w:hAnsi="Nobel-Book" w:cs="Nobel-Book"/>
                <w:color w:val="000000"/>
                <w:sz w:val="18"/>
                <w:szCs w:val="18"/>
                <w:lang w:val="en-US"/>
              </w:rPr>
              <w:t>2. P: 245/45 RF20, T: 275/40 RF20</w:t>
            </w:r>
          </w:p>
          <w:p w:rsidR="00B719EC" w:rsidRPr="00B719EC" w:rsidRDefault="005278A7" w:rsidP="005278A7">
            <w:pPr>
              <w:jc w:val="both"/>
              <w:rPr>
                <w:rFonts w:ascii="Nobel-Book" w:hAnsi="Nobel-Book" w:cs="Nobel-Book"/>
                <w:color w:val="000000"/>
                <w:sz w:val="18"/>
                <w:szCs w:val="18"/>
              </w:rPr>
            </w:pPr>
            <w:r>
              <w:rPr>
                <w:rFonts w:ascii="Nobel-Book" w:hAnsi="Nobel-Book" w:cs="Nobel-Book"/>
                <w:color w:val="000000"/>
                <w:sz w:val="18"/>
                <w:szCs w:val="18"/>
              </w:rPr>
              <w:t>3. P: 245/45 RF20, T: 275/40 RF20</w:t>
            </w:r>
          </w:p>
        </w:tc>
      </w:tr>
      <w:tr w:rsidR="005278A7" w:rsidRPr="001C58D9" w:rsidTr="005278A7">
        <w:tc>
          <w:tcPr>
            <w:tcW w:w="2580" w:type="dxa"/>
            <w:shd w:val="clear" w:color="auto" w:fill="auto"/>
          </w:tcPr>
          <w:p w:rsidR="005278A7" w:rsidRDefault="005278A7" w:rsidP="001C58D9">
            <w:pPr>
              <w:jc w:val="both"/>
              <w:rPr>
                <w:rFonts w:ascii="Nobel-Book" w:hAnsi="Nobel-Book" w:cs="Nobel-Book"/>
                <w:color w:val="000000"/>
                <w:sz w:val="18"/>
                <w:szCs w:val="18"/>
              </w:rPr>
            </w:pPr>
            <w:r>
              <w:rPr>
                <w:rFonts w:ascii="Nobel-Book" w:hAnsi="Nobel-Book" w:cs="Nobel-Book"/>
                <w:color w:val="000000"/>
                <w:sz w:val="18"/>
                <w:szCs w:val="18"/>
              </w:rPr>
              <w:t>0 – 60 mph</w:t>
            </w:r>
          </w:p>
        </w:tc>
        <w:tc>
          <w:tcPr>
            <w:tcW w:w="6434" w:type="dxa"/>
            <w:shd w:val="clear" w:color="auto" w:fill="auto"/>
          </w:tcPr>
          <w:p w:rsidR="005278A7" w:rsidRPr="005278A7" w:rsidRDefault="005278A7" w:rsidP="005278A7">
            <w:pPr>
              <w:jc w:val="both"/>
              <w:rPr>
                <w:rFonts w:ascii="Nobel-Book" w:hAnsi="Nobel-Book" w:cs="Nobel-Book"/>
                <w:color w:val="000000"/>
                <w:sz w:val="18"/>
                <w:szCs w:val="18"/>
              </w:rPr>
            </w:pPr>
            <w:r>
              <w:rPr>
                <w:rFonts w:ascii="Nobel-Book" w:hAnsi="Nobel-Book" w:cs="Nobel-Book"/>
                <w:color w:val="000000"/>
                <w:sz w:val="18"/>
                <w:szCs w:val="18"/>
              </w:rPr>
              <w:t>Poniżej 4,5 sekundy</w:t>
            </w:r>
          </w:p>
        </w:tc>
      </w:tr>
    </w:tbl>
    <w:p w:rsidR="001C58D9" w:rsidRDefault="001C58D9">
      <w:pPr>
        <w:spacing w:before="240"/>
        <w:jc w:val="both"/>
        <w:rPr>
          <w:rFonts w:ascii="Nobel-Book" w:hAnsi="Nobel-Book" w:cs="Nobel-Book"/>
          <w:color w:val="000000"/>
        </w:rPr>
      </w:pPr>
      <w:bookmarkStart w:id="0" w:name="_GoBack"/>
      <w:bookmarkEnd w:id="0"/>
    </w:p>
    <w:sectPr w:rsidR="001C58D9">
      <w:headerReference w:type="default" r:id="rId7"/>
      <w:footerReference w:type="default" r:id="rId8"/>
      <w:pgSz w:w="11907" w:h="16840" w:code="9"/>
      <w:pgMar w:top="1418" w:right="794" w:bottom="1418" w:left="2155" w:header="505"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29" w:rsidRDefault="00681629">
      <w:r>
        <w:separator/>
      </w:r>
    </w:p>
  </w:endnote>
  <w:endnote w:type="continuationSeparator" w:id="0">
    <w:p w:rsidR="00681629" w:rsidRDefault="006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Nobel-Bold">
    <w:altName w:val="Times New Roman"/>
    <w:charset w:val="00"/>
    <w:family w:val="auto"/>
    <w:pitch w:val="variable"/>
    <w:sig w:usb0="00000000" w:usb1="00000040" w:usb2="00000000" w:usb3="00000000" w:csb0="000001FF" w:csb1="00000000"/>
  </w:font>
  <w:font w:name="Nobel-Book">
    <w:altName w:val="Times New Roman"/>
    <w:charset w:val="00"/>
    <w:family w:val="auto"/>
    <w:pitch w:val="variable"/>
    <w:sig w:usb0="00000000" w:usb1="0000004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D9" w:rsidRDefault="001C58D9">
    <w:pPr>
      <w:pStyle w:val="Stopka"/>
      <w:tabs>
        <w:tab w:val="clear" w:pos="4153"/>
        <w:tab w:val="clear" w:pos="8306"/>
        <w:tab w:val="center" w:pos="4368"/>
        <w:tab w:val="right" w:pos="8735"/>
      </w:tabs>
      <w:ind w:right="223"/>
      <w:rPr>
        <w:rFonts w:ascii="Nobel-Book" w:hAnsi="Nobel-Book" w:cs="Nobel-Book"/>
        <w:sz w:val="20"/>
        <w:szCs w:val="20"/>
      </w:rPr>
    </w:pPr>
    <w:r>
      <w:rPr>
        <w:rStyle w:val="Numerstrony"/>
        <w:rFonts w:ascii="Nobel-Book" w:hAnsi="Nobel-Book" w:cs="Nobel-Book"/>
        <w:sz w:val="20"/>
        <w:szCs w:val="20"/>
      </w:rPr>
      <w:tab/>
    </w:r>
    <w:r>
      <w:fldChar w:fldCharType="begin"/>
    </w:r>
    <w:r>
      <w:instrText xml:space="preserve"> PAGE </w:instrText>
    </w:r>
    <w:r>
      <w:fldChar w:fldCharType="separate"/>
    </w:r>
    <w:r w:rsidR="00E248B0">
      <w:rPr>
        <w:noProof/>
      </w:rPr>
      <w:t>6</w:t>
    </w:r>
    <w:r>
      <w:fldChar w:fldCharType="end"/>
    </w:r>
    <w:r>
      <w:rPr>
        <w:rStyle w:val="Numerstrony"/>
        <w:rFonts w:ascii="Nobel-Book" w:hAnsi="Nobel-Book" w:cs="Nobel-Book"/>
        <w:sz w:val="20"/>
        <w:szCs w:val="20"/>
      </w:rPr>
      <w:t xml:space="preserve"> / </w:t>
    </w:r>
    <w:fldSimple w:instr=" NUMPAGES ">
      <w:r w:rsidR="00E248B0">
        <w:rPr>
          <w:noProof/>
        </w:rPr>
        <w:t>6</w:t>
      </w:r>
    </w:fldSimple>
    <w:r>
      <w:rPr>
        <w:rStyle w:val="Numerstrony"/>
        <w:rFonts w:ascii="Nobel-Book" w:hAnsi="Nobel-Book" w:cs="Nobel-Book"/>
        <w:sz w:val="20"/>
        <w:szCs w:val="20"/>
      </w:rPr>
      <w:tab/>
      <w:t>http://newsroom.lexus.eu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29" w:rsidRDefault="00681629">
      <w:r>
        <w:separator/>
      </w:r>
    </w:p>
  </w:footnote>
  <w:footnote w:type="continuationSeparator" w:id="0">
    <w:p w:rsidR="00681629" w:rsidRDefault="0068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D9" w:rsidRDefault="001C58D9">
    <w:pPr>
      <w:pStyle w:val="Nagwek"/>
      <w:tabs>
        <w:tab w:val="clear" w:pos="8306"/>
        <w:tab w:val="right" w:pos="8721"/>
      </w:tabs>
      <w:ind w:right="223"/>
    </w:pPr>
    <w:r>
      <w:t>Informacja prasowa</w:t>
    </w:r>
    <w:r>
      <w:tab/>
    </w:r>
    <w:r>
      <w:tab/>
    </w:r>
    <w:r>
      <w:rPr>
        <w:noProof/>
      </w:rPr>
      <w:drawing>
        <wp:inline distT="0" distB="0" distL="0" distR="0">
          <wp:extent cx="1362075" cy="247650"/>
          <wp:effectExtent l="0" t="0" r="9525" b="0"/>
          <wp:docPr id="1" name="Picture 1" descr="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42654"/>
    <w:multiLevelType w:val="hybridMultilevel"/>
    <w:tmpl w:val="D9449FC4"/>
    <w:lvl w:ilvl="0" w:tplc="04070001">
      <w:start w:val="1"/>
      <w:numFmt w:val="bullet"/>
      <w:pStyle w:val="Normalbulletstable"/>
      <w:lvlText w:val=""/>
      <w:lvlJc w:val="left"/>
      <w:pPr>
        <w:tabs>
          <w:tab w:val="num" w:pos="720"/>
        </w:tabs>
        <w:ind w:left="720" w:hanging="360"/>
      </w:pPr>
      <w:rPr>
        <w:rFonts w:ascii="Symbol" w:hAnsi="Symbol" w:hint="default"/>
      </w:rPr>
    </w:lvl>
    <w:lvl w:ilvl="1" w:tplc="7DF0F27A">
      <w:start w:val="1"/>
      <w:numFmt w:val="bullet"/>
      <w:pStyle w:val="Normalbullets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21509"/>
    <w:multiLevelType w:val="hybridMultilevel"/>
    <w:tmpl w:val="A04E4192"/>
    <w:lvl w:ilvl="0" w:tplc="B42225EA">
      <w:start w:val="1"/>
      <w:numFmt w:val="decimal"/>
      <w:pStyle w:val="titlelevel3"/>
      <w:lvlText w:val="Q%1."/>
      <w:lvlJc w:val="left"/>
      <w:pPr>
        <w:tabs>
          <w:tab w:val="num" w:pos="144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AB6CDB"/>
    <w:multiLevelType w:val="hybridMultilevel"/>
    <w:tmpl w:val="39BA0ADC"/>
    <w:lvl w:ilvl="0" w:tplc="00786D8A">
      <w:start w:val="1"/>
      <w:numFmt w:val="bullet"/>
      <w:pStyle w:val="Normalbullets"/>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18018D"/>
    <w:multiLevelType w:val="hybridMultilevel"/>
    <w:tmpl w:val="934EA338"/>
    <w:lvl w:ilvl="0" w:tplc="03CE58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79315D1"/>
    <w:multiLevelType w:val="multilevel"/>
    <w:tmpl w:val="1E7CD410"/>
    <w:lvl w:ilvl="0">
      <w:start w:val="1"/>
      <w:numFmt w:val="decimal"/>
      <w:pStyle w:val="titlelevel1"/>
      <w:lvlText w:val="Part %1"/>
      <w:lvlJc w:val="left"/>
      <w:pPr>
        <w:tabs>
          <w:tab w:val="num" w:pos="2160"/>
        </w:tabs>
        <w:ind w:left="1134" w:hanging="1134"/>
      </w:pPr>
      <w:rPr>
        <w:rFonts w:hint="default"/>
      </w:rPr>
    </w:lvl>
    <w:lvl w:ilvl="1">
      <w:start w:val="1"/>
      <w:numFmt w:val="upperLetter"/>
      <w:pStyle w:val="titlelevel2"/>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8090041"/>
    <w:multiLevelType w:val="hybridMultilevel"/>
    <w:tmpl w:val="A1C69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0"/>
  </w:num>
  <w:num w:numId="5">
    <w:abstractNumId w:val="5"/>
  </w:num>
  <w:num w:numId="6">
    <w:abstractNumId w:val="5"/>
  </w:num>
  <w:num w:numId="7">
    <w:abstractNumId w:val="1"/>
  </w:num>
  <w:num w:numId="8">
    <w:abstractNumId w:val="1"/>
  </w:num>
  <w:num w:numId="9">
    <w:abstractNumId w:val="1"/>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93"/>
    <w:rsid w:val="001109A0"/>
    <w:rsid w:val="001A169C"/>
    <w:rsid w:val="001C58D9"/>
    <w:rsid w:val="00294BBF"/>
    <w:rsid w:val="002A288E"/>
    <w:rsid w:val="002A6B83"/>
    <w:rsid w:val="002A7793"/>
    <w:rsid w:val="0045604F"/>
    <w:rsid w:val="00505D49"/>
    <w:rsid w:val="005278A7"/>
    <w:rsid w:val="00624A9E"/>
    <w:rsid w:val="00681629"/>
    <w:rsid w:val="00781D05"/>
    <w:rsid w:val="007C078E"/>
    <w:rsid w:val="00A7396C"/>
    <w:rsid w:val="00B1601B"/>
    <w:rsid w:val="00B719EC"/>
    <w:rsid w:val="00BE4E91"/>
    <w:rsid w:val="00C32651"/>
    <w:rsid w:val="00C83836"/>
    <w:rsid w:val="00E248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3A8A09-3CE4-4CBE-9C29-D3D041F9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ext">
    <w:name w:val="Normaltext"/>
    <w:basedOn w:val="Normalny"/>
    <w:semiHidden/>
    <w:pPr>
      <w:spacing w:before="120"/>
      <w:jc w:val="both"/>
    </w:pPr>
    <w:rPr>
      <w:rFonts w:ascii="Arial" w:hAnsi="Arial"/>
      <w:sz w:val="20"/>
      <w:szCs w:val="20"/>
    </w:rPr>
  </w:style>
  <w:style w:type="paragraph" w:customStyle="1" w:styleId="Normalbullets">
    <w:name w:val="Normalbullets"/>
    <w:basedOn w:val="Normaltext"/>
    <w:semiHidden/>
    <w:pPr>
      <w:numPr>
        <w:numId w:val="3"/>
      </w:numPr>
    </w:pPr>
  </w:style>
  <w:style w:type="paragraph" w:customStyle="1" w:styleId="Normalbullets2">
    <w:name w:val="Normalbullets2"/>
    <w:basedOn w:val="Normalbullets"/>
    <w:semiHidden/>
    <w:pPr>
      <w:numPr>
        <w:ilvl w:val="1"/>
        <w:numId w:val="4"/>
      </w:numPr>
      <w:spacing w:before="0"/>
    </w:pPr>
    <w:rPr>
      <w:spacing w:val="-4"/>
    </w:rPr>
  </w:style>
  <w:style w:type="paragraph" w:customStyle="1" w:styleId="NormalbulletsA">
    <w:name w:val="NormalbulletsA"/>
    <w:basedOn w:val="Normalbullets"/>
    <w:semiHidden/>
    <w:pPr>
      <w:numPr>
        <w:numId w:val="0"/>
      </w:numPr>
      <w:tabs>
        <w:tab w:val="num" w:pos="180"/>
      </w:tabs>
      <w:ind w:left="180" w:hanging="180"/>
    </w:pPr>
    <w:rPr>
      <w:b/>
      <w:sz w:val="16"/>
    </w:rPr>
  </w:style>
  <w:style w:type="paragraph" w:customStyle="1" w:styleId="NormalbulletsB">
    <w:name w:val="NormalbulletsB"/>
    <w:basedOn w:val="Normalbullets"/>
    <w:semiHidden/>
    <w:pPr>
      <w:numPr>
        <w:ilvl w:val="1"/>
      </w:numPr>
      <w:spacing w:before="0"/>
    </w:pPr>
    <w:rPr>
      <w:sz w:val="14"/>
    </w:rPr>
  </w:style>
  <w:style w:type="paragraph" w:customStyle="1" w:styleId="Normalbulletstable">
    <w:name w:val="Normalbulletstable"/>
    <w:basedOn w:val="Normalbullets2"/>
    <w:semiHidden/>
    <w:pPr>
      <w:numPr>
        <w:ilvl w:val="0"/>
      </w:numPr>
    </w:pPr>
  </w:style>
  <w:style w:type="paragraph" w:customStyle="1" w:styleId="normaltable">
    <w:name w:val="normaltable"/>
    <w:basedOn w:val="Normaltext"/>
    <w:semiHidden/>
    <w:pPr>
      <w:spacing w:before="0"/>
      <w:jc w:val="left"/>
    </w:pPr>
    <w:rPr>
      <w:rFonts w:cs="Arial"/>
      <w:sz w:val="18"/>
    </w:rPr>
  </w:style>
  <w:style w:type="paragraph" w:customStyle="1" w:styleId="Normaltextbig">
    <w:name w:val="Normaltextbig"/>
    <w:basedOn w:val="Normaltext"/>
    <w:semiHidden/>
    <w:pPr>
      <w:spacing w:before="140"/>
    </w:pPr>
    <w:rPr>
      <w:sz w:val="24"/>
    </w:rPr>
  </w:style>
  <w:style w:type="paragraph" w:customStyle="1" w:styleId="tablecontents">
    <w:name w:val="tablecontents"/>
    <w:basedOn w:val="Normalny"/>
    <w:semiHidden/>
    <w:pPr>
      <w:keepNext/>
      <w:pBdr>
        <w:bottom w:val="single" w:sz="24" w:space="1" w:color="C0C0C0"/>
      </w:pBdr>
      <w:shd w:val="clear" w:color="auto" w:fill="333333"/>
      <w:spacing w:line="400" w:lineRule="exact"/>
      <w:outlineLvl w:val="1"/>
    </w:pPr>
    <w:rPr>
      <w:rFonts w:ascii="Arial" w:hAnsi="Arial"/>
      <w:b/>
      <w:color w:val="FFFFFF"/>
      <w:sz w:val="36"/>
      <w:szCs w:val="20"/>
    </w:rPr>
  </w:style>
  <w:style w:type="paragraph" w:customStyle="1" w:styleId="titlelevel1">
    <w:name w:val="titlelevel1"/>
    <w:basedOn w:val="Nagwek2"/>
    <w:semiHidden/>
    <w:pPr>
      <w:numPr>
        <w:numId w:val="6"/>
      </w:numPr>
      <w:pBdr>
        <w:bottom w:val="single" w:sz="24" w:space="1" w:color="C0C0C0"/>
      </w:pBdr>
      <w:shd w:val="clear" w:color="auto" w:fill="333333"/>
      <w:spacing w:before="0" w:after="0" w:line="400" w:lineRule="exact"/>
    </w:pPr>
    <w:rPr>
      <w:rFonts w:cs="Times New Roman"/>
      <w:bCs w:val="0"/>
      <w:i w:val="0"/>
      <w:iCs w:val="0"/>
      <w:color w:val="FFFFFF"/>
      <w:sz w:val="36"/>
      <w:szCs w:val="20"/>
    </w:rPr>
  </w:style>
  <w:style w:type="paragraph" w:customStyle="1" w:styleId="titlelevel2">
    <w:name w:val="titlelevel2"/>
    <w:basedOn w:val="Nagwek3"/>
    <w:semiHidden/>
    <w:pPr>
      <w:numPr>
        <w:ilvl w:val="1"/>
        <w:numId w:val="6"/>
      </w:numPr>
      <w:pBdr>
        <w:bottom w:val="single" w:sz="24" w:space="1" w:color="999999"/>
      </w:pBdr>
      <w:spacing w:before="360" w:after="0" w:line="400" w:lineRule="exact"/>
    </w:pPr>
    <w:rPr>
      <w:rFonts w:cs="Times New Roman"/>
      <w:b w:val="0"/>
      <w:bCs w:val="0"/>
      <w:sz w:val="36"/>
      <w:szCs w:val="20"/>
    </w:rPr>
  </w:style>
  <w:style w:type="paragraph" w:customStyle="1" w:styleId="titlelevel2b">
    <w:name w:val="titlelevel2b"/>
    <w:basedOn w:val="Normaltext"/>
    <w:semiHidden/>
    <w:pPr>
      <w:shd w:val="clear" w:color="auto" w:fill="C0C0C0"/>
      <w:spacing w:before="360" w:after="60"/>
    </w:pPr>
    <w:rPr>
      <w:b/>
      <w:sz w:val="24"/>
    </w:rPr>
  </w:style>
  <w:style w:type="paragraph" w:customStyle="1" w:styleId="titlelevel3">
    <w:name w:val="titlelevel3"/>
    <w:basedOn w:val="Normalny"/>
    <w:semiHidden/>
    <w:pPr>
      <w:numPr>
        <w:numId w:val="10"/>
      </w:numPr>
      <w:pBdr>
        <w:bottom w:val="single" w:sz="6" w:space="1" w:color="000000"/>
      </w:pBdr>
      <w:tabs>
        <w:tab w:val="left" w:pos="540"/>
        <w:tab w:val="left" w:pos="833"/>
      </w:tabs>
      <w:spacing w:before="360"/>
    </w:pPr>
    <w:rPr>
      <w:rFonts w:ascii="Arial" w:hAnsi="Arial"/>
      <w:b/>
      <w:noProof/>
      <w:color w:val="000000"/>
      <w:sz w:val="20"/>
      <w:szCs w:val="20"/>
    </w:rPr>
  </w:style>
  <w:style w:type="paragraph" w:customStyle="1" w:styleId="titlelevel4">
    <w:name w:val="titlelevel4"/>
    <w:basedOn w:val="Normaltext"/>
    <w:semiHidden/>
    <w:pPr>
      <w:pBdr>
        <w:bottom w:val="single" w:sz="4" w:space="1" w:color="auto"/>
      </w:pBdr>
      <w:spacing w:before="480" w:line="240" w:lineRule="exact"/>
    </w:pPr>
    <w:rPr>
      <w:b/>
      <w:sz w:val="24"/>
    </w:rPr>
  </w:style>
  <w:style w:type="paragraph" w:customStyle="1" w:styleId="source">
    <w:name w:val="source"/>
    <w:basedOn w:val="Normalny"/>
    <w:semiHidden/>
    <w:pPr>
      <w:spacing w:line="180" w:lineRule="exact"/>
      <w:jc w:val="right"/>
    </w:pPr>
    <w:rPr>
      <w:rFonts w:ascii="Arial" w:hAnsi="Arial"/>
      <w:i/>
      <w:sz w:val="16"/>
      <w:szCs w:val="20"/>
    </w:rPr>
  </w:style>
  <w:style w:type="paragraph" w:customStyle="1" w:styleId="titlelevel3b">
    <w:name w:val="titlelevel3b"/>
    <w:basedOn w:val="titlelevel3"/>
    <w:next w:val="Normaltext"/>
    <w:semiHidden/>
    <w:pPr>
      <w:numPr>
        <w:numId w:val="0"/>
      </w:numPr>
      <w:tabs>
        <w:tab w:val="clear" w:pos="833"/>
        <w:tab w:val="left" w:pos="360"/>
      </w:tabs>
    </w:pPr>
  </w:style>
  <w:style w:type="paragraph" w:customStyle="1" w:styleId="TableContents0">
    <w:name w:val="TableContents"/>
    <w:basedOn w:val="Normalny"/>
    <w:semiHidden/>
    <w:pPr>
      <w:pBdr>
        <w:bottom w:val="single" w:sz="24" w:space="1" w:color="C0C0C0"/>
      </w:pBdr>
      <w:shd w:val="clear" w:color="auto" w:fill="0C0C0C"/>
      <w:spacing w:line="360" w:lineRule="exact"/>
      <w:ind w:left="-98" w:right="-99"/>
      <w:jc w:val="both"/>
    </w:pPr>
    <w:rPr>
      <w:rFonts w:ascii="Arial" w:eastAsia="Times New Roman" w:hAnsi="Arial"/>
      <w:b/>
      <w:bCs/>
      <w:color w:val="FFFFFF"/>
      <w:sz w:val="36"/>
      <w:szCs w:val="36"/>
    </w:rPr>
  </w:style>
  <w:style w:type="paragraph" w:styleId="Nagwek">
    <w:name w:val="header"/>
    <w:basedOn w:val="Normalny"/>
    <w:semiHidden/>
    <w:pPr>
      <w:tabs>
        <w:tab w:val="center" w:pos="4153"/>
        <w:tab w:val="right" w:pos="8306"/>
      </w:tabs>
    </w:pPr>
  </w:style>
  <w:style w:type="paragraph" w:styleId="Stopka">
    <w:name w:val="footer"/>
    <w:basedOn w:val="Normalny"/>
    <w:semiHidden/>
    <w:pPr>
      <w:tabs>
        <w:tab w:val="center" w:pos="4153"/>
        <w:tab w:val="right" w:pos="8306"/>
      </w:tabs>
    </w:pPr>
  </w:style>
  <w:style w:type="character" w:styleId="Numerstrony">
    <w:name w:val="page number"/>
    <w:basedOn w:val="Domylnaczcionkaakapitu"/>
    <w:semiHidden/>
  </w:style>
  <w:style w:type="paragraph" w:customStyle="1" w:styleId="Lexusheader">
    <w:name w:val="Lexus header"/>
    <w:basedOn w:val="Normalny"/>
    <w:pPr>
      <w:spacing w:before="480"/>
    </w:pPr>
    <w:rPr>
      <w:rFonts w:ascii="Nobel-Bold" w:hAnsi="Nobel-Bold" w:cs="Nobel-Bold"/>
      <w:caps/>
      <w:sz w:val="48"/>
      <w:szCs w:val="48"/>
    </w:rPr>
  </w:style>
  <w:style w:type="paragraph" w:customStyle="1" w:styleId="Lexussubtitle">
    <w:name w:val="Lexus subtitle"/>
    <w:basedOn w:val="Normalny"/>
    <w:pPr>
      <w:spacing w:before="480"/>
    </w:pPr>
    <w:rPr>
      <w:rFonts w:ascii="Nobel-Bold" w:hAnsi="Nobel-Bold" w:cs="Nobel-Bold"/>
      <w:caps/>
      <w:color w:val="808080"/>
      <w:sz w:val="32"/>
      <w:szCs w:val="32"/>
    </w:rPr>
  </w:style>
  <w:style w:type="paragraph" w:customStyle="1" w:styleId="Lexusbullets">
    <w:name w:val="Lexus bullets"/>
    <w:basedOn w:val="Normalny"/>
    <w:pPr>
      <w:numPr>
        <w:numId w:val="11"/>
      </w:numPr>
      <w:tabs>
        <w:tab w:val="clear" w:pos="720"/>
        <w:tab w:val="num" w:pos="480"/>
      </w:tabs>
      <w:spacing w:before="240"/>
      <w:ind w:left="482" w:hanging="482"/>
    </w:pPr>
    <w:rPr>
      <w:rFonts w:ascii="Nobel-Bold" w:hAnsi="Nobel-Bold" w:cs="Nobel-Bold"/>
      <w:color w:val="000000"/>
    </w:rPr>
  </w:style>
  <w:style w:type="paragraph" w:customStyle="1" w:styleId="Lexusnormaltext">
    <w:name w:val="Lexus normal text"/>
    <w:basedOn w:val="Normalny"/>
    <w:pPr>
      <w:spacing w:before="240"/>
      <w:jc w:val="both"/>
    </w:pPr>
    <w:rPr>
      <w:rFonts w:ascii="Nobel-Book" w:hAnsi="Nobel-Book" w:cs="Nobel-Book"/>
      <w:color w:val="000000"/>
    </w:rPr>
  </w:style>
  <w:style w:type="table" w:styleId="Tabela-Siatka">
    <w:name w:val="Table Grid"/>
    <w:basedOn w:val="Standardowy"/>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xustable">
    <w:name w:val="Lexus table"/>
    <w:basedOn w:val="Normalny"/>
    <w:pPr>
      <w:jc w:val="both"/>
    </w:pPr>
    <w:rPr>
      <w:rFonts w:ascii="Nobel-Book" w:hAnsi="Nobel-Book" w:cs="Nobel-Book"/>
      <w:color w:val="000000"/>
      <w:sz w:val="18"/>
      <w:szCs w:val="18"/>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2573</Words>
  <Characters>15444</Characters>
  <Application>Microsoft Office Word</Application>
  <DocSecurity>0</DocSecurity>
  <Lines>128</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LEXUS HEADER</vt:lpstr>
      <vt:lpstr>LEXUS HEADER</vt:lpstr>
    </vt:vector>
  </TitlesOfParts>
  <Company>TMME</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LEXUS HEADER</dc:title>
  <dc:creator>Etienne Plas</dc:creator>
  <cp:lastModifiedBy>Monika Małek (TMPL)</cp:lastModifiedBy>
  <cp:revision>2</cp:revision>
  <cp:lastPrinted>2016-01-06T10:50:00Z</cp:lastPrinted>
  <dcterms:created xsi:type="dcterms:W3CDTF">2016-01-11T11:00:00Z</dcterms:created>
  <dcterms:modified xsi:type="dcterms:W3CDTF">2016-01-11T11:00:00Z</dcterms:modified>
  <cp:category>Not Protected</cp:category>
</cp:coreProperties>
</file>