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9B595B" w:rsidRPr="00E50C5D" w:rsidRDefault="008F4631" w:rsidP="00E50C5D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SZÓRAKOZTATÓ ELEKTRONIKAI RENDSZEREK MA ELÉRHETŐ CSÚCSÁT KÍNÁLJA A </w:t>
      </w:r>
      <w:r w:rsidR="004810E8">
        <w:rPr>
          <w:rFonts w:ascii="Arial" w:eastAsiaTheme="minorHAnsi" w:hAnsi="Arial" w:cs="Arial"/>
          <w:b/>
          <w:sz w:val="22"/>
          <w:szCs w:val="22"/>
          <w:lang w:val="hu-HU"/>
        </w:rPr>
        <w:t>LEXUS RX</w:t>
      </w:r>
    </w:p>
    <w:p w:rsidR="009A2B79" w:rsidRDefault="009A2B79" w:rsidP="009A2B79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</w:p>
    <w:p w:rsidR="008F4631" w:rsidRDefault="008F4631" w:rsidP="004810E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Egy luxusautó esetében nem csupán a lenyűgöző formavilág és a prémium kidolgozottság legmagasabb szintjét képviselő külső és belső kivitelezés, a fejlett biztonsági rendszerek és </w:t>
      </w:r>
      <w:proofErr w:type="spellStart"/>
      <w:r>
        <w:rPr>
          <w:rFonts w:ascii="Arial" w:hAnsi="Arial" w:cs="Arial"/>
          <w:b/>
          <w:lang w:val="hu-HU"/>
        </w:rPr>
        <w:t>high-tech</w:t>
      </w:r>
      <w:proofErr w:type="spellEnd"/>
      <w:r>
        <w:rPr>
          <w:rFonts w:ascii="Arial" w:hAnsi="Arial" w:cs="Arial"/>
          <w:b/>
          <w:lang w:val="hu-HU"/>
        </w:rPr>
        <w:t xml:space="preserve"> műszaki megoldások, vagy épp a környezetbarát meghajtás a fontos a leendő tulajdonos számára. Egy ilyen autó egy üzletember/üzletasszony számára második irodaként, a család számára pedig a közös kirándulások és nagy családi nyaralások során második, utazó otthonként szolgál. Éppen ezért nem mindegy, hogy az autóban elérhető </w:t>
      </w:r>
      <w:proofErr w:type="spellStart"/>
      <w:r>
        <w:rPr>
          <w:rFonts w:ascii="Arial" w:hAnsi="Arial" w:cs="Arial"/>
          <w:b/>
          <w:lang w:val="hu-HU"/>
        </w:rPr>
        <w:t>konnektivitási</w:t>
      </w:r>
      <w:proofErr w:type="spellEnd"/>
      <w:r>
        <w:rPr>
          <w:rFonts w:ascii="Arial" w:hAnsi="Arial" w:cs="Arial"/>
          <w:b/>
          <w:lang w:val="hu-HU"/>
        </w:rPr>
        <w:t xml:space="preserve"> lehetőségek és szórakoztató elektronikai rendszerek mennyiben</w:t>
      </w:r>
      <w:r w:rsidR="00323AFF">
        <w:rPr>
          <w:rFonts w:ascii="Arial" w:hAnsi="Arial" w:cs="Arial"/>
          <w:b/>
          <w:lang w:val="hu-HU"/>
        </w:rPr>
        <w:t xml:space="preserve"> támogatják az irodán kívüli, utazás közbeni munkavégzést, vagy éppen a családtagok kikapcsolódását. A megújult Lexus RX, a japán autógyártó európai csúcs SUV-ja egyik felsorolt területen sem hagy kívánnivalót maga után.</w:t>
      </w:r>
    </w:p>
    <w:p w:rsidR="008F4631" w:rsidRDefault="008F4631" w:rsidP="004810E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CB211B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  <w:r w:rsidRPr="008F4631">
        <w:rPr>
          <w:rFonts w:ascii="Arial" w:hAnsi="Arial" w:cs="Arial"/>
          <w:lang w:val="hu-HU"/>
        </w:rPr>
        <w:t xml:space="preserve">A </w:t>
      </w:r>
      <w:r w:rsidR="009418B7">
        <w:rPr>
          <w:rFonts w:ascii="Arial" w:hAnsi="Arial" w:cs="Arial"/>
          <w:lang w:val="hu-HU"/>
        </w:rPr>
        <w:t>Lexus RX-</w:t>
      </w:r>
      <w:proofErr w:type="spellStart"/>
      <w:r w:rsidR="009418B7">
        <w:rPr>
          <w:rFonts w:ascii="Arial" w:hAnsi="Arial" w:cs="Arial"/>
          <w:lang w:val="hu-HU"/>
        </w:rPr>
        <w:t>ben</w:t>
      </w:r>
      <w:proofErr w:type="spellEnd"/>
      <w:r w:rsidR="009418B7">
        <w:rPr>
          <w:rFonts w:ascii="Arial" w:hAnsi="Arial" w:cs="Arial"/>
          <w:lang w:val="hu-HU"/>
        </w:rPr>
        <w:t xml:space="preserve"> helyet kapó </w:t>
      </w:r>
      <w:r w:rsidRPr="008F4631">
        <w:rPr>
          <w:rFonts w:ascii="Arial" w:hAnsi="Arial" w:cs="Arial"/>
          <w:lang w:val="hu-HU"/>
        </w:rPr>
        <w:t xml:space="preserve">12,3 colos Lexus multimédia rendszer kezelését még inkább megkönnyíti, hogy a </w:t>
      </w:r>
      <w:proofErr w:type="spellStart"/>
      <w:r w:rsidRPr="008F4631">
        <w:rPr>
          <w:rFonts w:ascii="Arial" w:hAnsi="Arial" w:cs="Arial"/>
          <w:lang w:val="hu-HU"/>
        </w:rPr>
        <w:t>Remote</w:t>
      </w:r>
      <w:proofErr w:type="spellEnd"/>
      <w:r w:rsidRPr="008F4631">
        <w:rPr>
          <w:rFonts w:ascii="Arial" w:hAnsi="Arial" w:cs="Arial"/>
          <w:lang w:val="hu-HU"/>
        </w:rPr>
        <w:t xml:space="preserve"> </w:t>
      </w:r>
      <w:proofErr w:type="spellStart"/>
      <w:r w:rsidRPr="008F4631">
        <w:rPr>
          <w:rFonts w:ascii="Arial" w:hAnsi="Arial" w:cs="Arial"/>
          <w:lang w:val="hu-HU"/>
        </w:rPr>
        <w:t>Touch</w:t>
      </w:r>
      <w:proofErr w:type="spellEnd"/>
      <w:r w:rsidRPr="008F4631">
        <w:rPr>
          <w:rFonts w:ascii="Arial" w:hAnsi="Arial" w:cs="Arial"/>
          <w:lang w:val="hu-HU"/>
        </w:rPr>
        <w:t xml:space="preserve"> </w:t>
      </w:r>
      <w:proofErr w:type="spellStart"/>
      <w:r w:rsidRPr="008F4631">
        <w:rPr>
          <w:rFonts w:ascii="Arial" w:hAnsi="Arial" w:cs="Arial"/>
          <w:lang w:val="hu-HU"/>
        </w:rPr>
        <w:t>Interface</w:t>
      </w:r>
      <w:proofErr w:type="spellEnd"/>
      <w:r w:rsidRPr="008F4631">
        <w:rPr>
          <w:rFonts w:ascii="Arial" w:hAnsi="Arial" w:cs="Arial"/>
          <w:lang w:val="hu-HU"/>
        </w:rPr>
        <w:t xml:space="preserve"> (RTI) mostantól érintőpados. Ez a felület ugyanazokkal a megszokott ujjmozdulatokkal kezelhető, mint az okostelefonok vagy a </w:t>
      </w:r>
      <w:proofErr w:type="spellStart"/>
      <w:r w:rsidRPr="008F4631">
        <w:rPr>
          <w:rFonts w:ascii="Arial" w:hAnsi="Arial" w:cs="Arial"/>
          <w:lang w:val="hu-HU"/>
        </w:rPr>
        <w:t>tabletek</w:t>
      </w:r>
      <w:proofErr w:type="spellEnd"/>
      <w:r w:rsidRPr="008F4631">
        <w:rPr>
          <w:rFonts w:ascii="Arial" w:hAnsi="Arial" w:cs="Arial"/>
          <w:lang w:val="hu-HU"/>
        </w:rPr>
        <w:t xml:space="preserve"> képernyője.</w:t>
      </w:r>
      <w:r w:rsidR="009418B7">
        <w:rPr>
          <w:rFonts w:ascii="Arial" w:hAnsi="Arial" w:cs="Arial"/>
          <w:lang w:val="hu-HU"/>
        </w:rPr>
        <w:t xml:space="preserve"> </w:t>
      </w:r>
      <w:r w:rsidRPr="008F4631">
        <w:rPr>
          <w:rFonts w:ascii="Arial" w:hAnsi="Arial" w:cs="Arial"/>
          <w:color w:val="000000" w:themeColor="text1"/>
          <w:lang w:val="hu-HU"/>
        </w:rPr>
        <w:t>Ugyanakkor maga a kijelző is érintésérzékelő lett, így az érintőpad nélkül is használható. Az egység előbbre került, hogy mind a vezető, mind az első utas kényelmesebben elérhesse.</w:t>
      </w:r>
      <w:r w:rsidR="009418B7">
        <w:rPr>
          <w:rFonts w:ascii="Arial" w:hAnsi="Arial" w:cs="Arial"/>
          <w:color w:val="000000" w:themeColor="text1"/>
          <w:lang w:val="hu-HU"/>
        </w:rPr>
        <w:t xml:space="preserve"> </w:t>
      </w:r>
      <w:r w:rsidRPr="008F4631">
        <w:rPr>
          <w:rFonts w:ascii="Arial" w:hAnsi="Arial" w:cs="Arial"/>
          <w:color w:val="000000" w:themeColor="text1"/>
          <w:lang w:val="hu-HU"/>
        </w:rPr>
        <w:t xml:space="preserve">A még jobb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konnektivitási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és személyes szórakoztatási opciók érdekében a két USB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portot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áthelyezték a középkonzol előlapjára, két másik port pedig az egység hátsó részén kapott helyet, hogy a hátsó utasok is könnyen csatlakozhassanak.</w:t>
      </w:r>
      <w:r w:rsidR="009418B7">
        <w:rPr>
          <w:rFonts w:ascii="Arial" w:hAnsi="Arial" w:cs="Arial"/>
          <w:color w:val="000000" w:themeColor="text1"/>
          <w:lang w:val="hu-HU"/>
        </w:rPr>
        <w:t xml:space="preserve"> </w:t>
      </w:r>
      <w:r w:rsidRPr="008F4631">
        <w:rPr>
          <w:rFonts w:ascii="Arial" w:hAnsi="Arial" w:cs="Arial"/>
          <w:color w:val="000000" w:themeColor="text1"/>
          <w:lang w:val="hu-HU"/>
        </w:rPr>
        <w:t xml:space="preserve">Az alapfelszereltség részét képező Lexus multimédia rendszerhez egy 8 colos TFT kijelző tartozik, ami a középkonzolon található, és a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Remote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Touch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Interface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segítségével kezelhető. A kijelzőt teljes képernyős (egész térkép) és két képernyős (fele térkép, fele információ), illetve három képernyős (fele térkép, a másik fele kétféle információ) nézetre is be lehet állítani. A vezető megadhatja, milyen információk (pl. navigáció, üzemanyag-fogyasztás,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audio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vagy légkondicionálás) a legfontosabbak számára.</w:t>
      </w:r>
    </w:p>
    <w:p w:rsidR="009418B7" w:rsidRPr="008F4631" w:rsidRDefault="009418B7" w:rsidP="008F4631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Okostelefon csatlakoztatás az Apple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CarPlay</w:t>
      </w:r>
      <w:r w:rsidRPr="008F4631">
        <w:rPr>
          <w:rFonts w:ascii="Arial" w:hAnsi="Arial" w:cs="Arial"/>
          <w:color w:val="000000" w:themeColor="text1"/>
          <w:vertAlign w:val="superscript"/>
          <w:lang w:val="hu-HU"/>
        </w:rPr>
        <w:t>TM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és az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Android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Auto</w:t>
      </w:r>
      <w:r w:rsidRPr="008F4631">
        <w:rPr>
          <w:rFonts w:ascii="Arial" w:hAnsi="Arial" w:cs="Arial"/>
          <w:color w:val="000000" w:themeColor="text1"/>
          <w:vertAlign w:val="superscript"/>
          <w:lang w:val="hu-HU"/>
        </w:rPr>
        <w:t>TM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funkciókkal</w:t>
      </w: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  <w:r w:rsidRPr="008F4631">
        <w:rPr>
          <w:rFonts w:ascii="Arial" w:hAnsi="Arial" w:cs="Arial"/>
          <w:color w:val="000000" w:themeColor="text1"/>
          <w:lang w:val="hu-HU"/>
        </w:rPr>
        <w:t xml:space="preserve">Az Apple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CarPlay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és az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Android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Auto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funkciók segítségével az új RX-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ben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egyszerűbbé vált az okostelefonok integrálása. Az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Android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Auto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rendszerrel a vezető könnyen csatlakoztathatja </w:t>
      </w:r>
      <w:r w:rsidRPr="008F4631">
        <w:rPr>
          <w:rFonts w:ascii="Arial" w:hAnsi="Arial" w:cs="Arial"/>
          <w:color w:val="000000" w:themeColor="text1"/>
          <w:lang w:val="hu-HU"/>
        </w:rPr>
        <w:lastRenderedPageBreak/>
        <w:t xml:space="preserve">telefonját, amit így a jármű multimédia rendszerén keresztül használhat. A nagyobb ikonoknak, az egyszerűsített kezelőfelületnek és a Google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Assistant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egyszerűen használható hangvezérlésének köszönhetően a rendszer kezelése csupán minimális mértékben tereli el az autós figyelmét a forgalomról. A csatlakoztatás után az utasok is hallgathatnak zenét a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Spotify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® és a Pandora® alkalmazásokkal, vagy üzeneteket küldhetnek az olyan népszerű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appokon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keresztül, mint a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WhatsApp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®. A kezelőfelületen a Google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Maps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™ vagy a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Waze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navigációja is megjeleníthető. Az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Android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Auto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 Google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Assistant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funkciójával a vezető hangutasításokkal is gyorsan, egyszerűen és biztonságosan intézheti a dolgait.</w:t>
      </w:r>
      <w:r w:rsidR="009418B7">
        <w:rPr>
          <w:rFonts w:ascii="Arial" w:hAnsi="Arial" w:cs="Arial"/>
          <w:color w:val="000000" w:themeColor="text1"/>
          <w:lang w:val="hu-HU"/>
        </w:rPr>
        <w:t xml:space="preserve"> </w:t>
      </w:r>
      <w:r w:rsidRPr="008F4631">
        <w:rPr>
          <w:rFonts w:ascii="Arial" w:hAnsi="Arial" w:cs="Arial"/>
          <w:color w:val="000000" w:themeColor="text1"/>
          <w:lang w:val="hu-HU"/>
        </w:rPr>
        <w:t xml:space="preserve">Az Apple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CarPlay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rendszerrel az utasok az autó multimédia kijelzőjén keresztül kezelhetik iPhone® készülékeiket. Az iPhone csatlakoztatása után a Siri® segítségével hangutasításokkal is megadhatják az útirányt, telefonhívásokat indíthatnak, üzeneteket küldhetnek és fogadhatnak, illetve használhatják kedvenc alkalmazásaikat (Apple Music, Apple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Maps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,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Podcasts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és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Audiobooks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,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Waze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vagy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Spotify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>).</w:t>
      </w:r>
      <w:r w:rsidR="009418B7">
        <w:rPr>
          <w:rFonts w:ascii="Arial" w:hAnsi="Arial" w:cs="Arial"/>
          <w:color w:val="000000" w:themeColor="text1"/>
          <w:lang w:val="hu-HU"/>
        </w:rPr>
        <w:t xml:space="preserve"> A 2020</w:t>
      </w:r>
      <w:r w:rsidRPr="008F4631">
        <w:rPr>
          <w:rFonts w:ascii="Arial" w:hAnsi="Arial" w:cs="Arial"/>
          <w:color w:val="000000" w:themeColor="text1"/>
          <w:lang w:val="hu-HU"/>
        </w:rPr>
        <w:t xml:space="preserve">-es multimédia csomag másik újdonsága az ‘over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the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air’ térképfrissítés, amellyel a felhasználók automatikusan letölthetik a legfrissebb térképeket az autó saját</w:t>
      </w:r>
      <w:r w:rsidR="009418B7">
        <w:rPr>
          <w:rFonts w:ascii="Arial" w:hAnsi="Arial" w:cs="Arial"/>
          <w:color w:val="000000" w:themeColor="text1"/>
          <w:lang w:val="hu-HU"/>
        </w:rPr>
        <w:t xml:space="preserve"> navigációs rendszerébe.</w:t>
      </w:r>
      <w:r w:rsidRPr="008F4631">
        <w:rPr>
          <w:rFonts w:ascii="Arial" w:hAnsi="Arial" w:cs="Arial"/>
          <w:color w:val="000000" w:themeColor="text1"/>
          <w:lang w:val="hu-HU"/>
        </w:rPr>
        <w:t xml:space="preserve"> A középkonzolon egy új okostelefon-tartó és egy extra USB port is helyet kapott.</w:t>
      </w:r>
    </w:p>
    <w:p w:rsidR="009418B7" w:rsidRDefault="009418B7" w:rsidP="008F4631">
      <w:pPr>
        <w:spacing w:after="0" w:line="360" w:lineRule="auto"/>
        <w:ind w:right="40"/>
        <w:jc w:val="both"/>
        <w:rPr>
          <w:rFonts w:ascii="Arial" w:hAnsi="Arial" w:cs="Arial"/>
          <w:b/>
          <w:color w:val="000000" w:themeColor="text1"/>
          <w:lang w:val="hu-HU"/>
        </w:rPr>
      </w:pP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b/>
          <w:color w:val="000000" w:themeColor="text1"/>
          <w:lang w:val="hu-HU"/>
        </w:rPr>
      </w:pPr>
      <w:proofErr w:type="spellStart"/>
      <w:r w:rsidRPr="008F4631">
        <w:rPr>
          <w:rFonts w:ascii="Arial" w:hAnsi="Arial" w:cs="Arial"/>
          <w:b/>
          <w:color w:val="000000" w:themeColor="text1"/>
          <w:lang w:val="hu-HU"/>
        </w:rPr>
        <w:t>Pioneer</w:t>
      </w:r>
      <w:proofErr w:type="spellEnd"/>
      <w:r w:rsidRPr="008F4631">
        <w:rPr>
          <w:rFonts w:ascii="Arial" w:hAnsi="Arial" w:cs="Arial"/>
          <w:b/>
          <w:color w:val="000000" w:themeColor="text1"/>
          <w:lang w:val="hu-HU"/>
        </w:rPr>
        <w:t xml:space="preserve"> 9 hangszórós </w:t>
      </w:r>
      <w:proofErr w:type="spellStart"/>
      <w:r w:rsidRPr="008F4631">
        <w:rPr>
          <w:rFonts w:ascii="Arial" w:hAnsi="Arial" w:cs="Arial"/>
          <w:b/>
          <w:color w:val="000000" w:themeColor="text1"/>
          <w:lang w:val="hu-HU"/>
        </w:rPr>
        <w:t>audiorendszer</w:t>
      </w:r>
      <w:proofErr w:type="spellEnd"/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  <w:r w:rsidRPr="008F4631">
        <w:rPr>
          <w:rFonts w:ascii="Arial" w:hAnsi="Arial" w:cs="Arial"/>
          <w:color w:val="000000" w:themeColor="text1"/>
          <w:lang w:val="hu-HU"/>
        </w:rPr>
        <w:t xml:space="preserve">Az új RX alapfelszereltsége egy 9 hangszórós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Pioneer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 digitális rádióadás-vétellel, egylemezes CD-lejátszóval és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Bluetooth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funkcióval.</w:t>
      </w:r>
    </w:p>
    <w:p w:rsidR="009418B7" w:rsidRDefault="009418B7" w:rsidP="008F4631">
      <w:pPr>
        <w:spacing w:after="0" w:line="360" w:lineRule="auto"/>
        <w:ind w:right="40"/>
        <w:jc w:val="both"/>
        <w:rPr>
          <w:rFonts w:ascii="Arial" w:hAnsi="Arial" w:cs="Arial"/>
          <w:b/>
          <w:color w:val="000000" w:themeColor="text1"/>
          <w:lang w:val="hu-HU"/>
        </w:rPr>
      </w:pP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b/>
          <w:color w:val="000000" w:themeColor="text1"/>
          <w:lang w:val="hu-HU"/>
        </w:rPr>
      </w:pPr>
      <w:proofErr w:type="spellStart"/>
      <w:r w:rsidRPr="008F4631">
        <w:rPr>
          <w:rFonts w:ascii="Arial" w:hAnsi="Arial" w:cs="Arial"/>
          <w:b/>
          <w:color w:val="000000" w:themeColor="text1"/>
          <w:lang w:val="hu-HU"/>
        </w:rPr>
        <w:t>Pioneer</w:t>
      </w:r>
      <w:proofErr w:type="spellEnd"/>
      <w:r w:rsidRPr="008F4631">
        <w:rPr>
          <w:rFonts w:ascii="Arial" w:hAnsi="Arial" w:cs="Arial"/>
          <w:b/>
          <w:color w:val="000000" w:themeColor="text1"/>
          <w:lang w:val="hu-HU"/>
        </w:rPr>
        <w:t xml:space="preserve"> 12 hangszórós </w:t>
      </w:r>
      <w:proofErr w:type="spellStart"/>
      <w:r w:rsidRPr="008F4631">
        <w:rPr>
          <w:rFonts w:ascii="Arial" w:hAnsi="Arial" w:cs="Arial"/>
          <w:b/>
          <w:color w:val="000000" w:themeColor="text1"/>
          <w:lang w:val="hu-HU"/>
        </w:rPr>
        <w:t>audiorendszer</w:t>
      </w:r>
      <w:proofErr w:type="spellEnd"/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8F4631">
        <w:rPr>
          <w:rFonts w:ascii="Arial" w:hAnsi="Arial" w:cs="Arial"/>
          <w:color w:val="000000" w:themeColor="text1"/>
          <w:lang w:val="hu-HU"/>
        </w:rPr>
        <w:t xml:space="preserve">Az F SPORT változathoz alapáron kínált, a többi modellhez opcióként rendelhető 12 hangszórós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Pioneer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 egylemezes DVD-lejátszót és CST (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Coherent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Source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Transducer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>) technológiát kínál, ami kiváló hangzáshűséget biztosít a közepes/magas hangtartományokban és élvezetes basszust a mély tartományban. A hangszórók közt 200 mm-es mélynyomók is találhatók, illetve új, 180 mm-es mélyhangszórók az első ajtókban.</w:t>
      </w:r>
    </w:p>
    <w:p w:rsidR="009418B7" w:rsidRDefault="009418B7" w:rsidP="008F4631">
      <w:pPr>
        <w:spacing w:after="0" w:line="360" w:lineRule="auto"/>
        <w:ind w:right="40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Mark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Levinson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Premium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b/>
          <w:bCs/>
          <w:color w:val="000000" w:themeColor="text1"/>
          <w:lang w:val="hu-HU"/>
        </w:rPr>
        <w:t>Surround</w:t>
      </w:r>
      <w:proofErr w:type="spellEnd"/>
      <w:r w:rsidRPr="008F4631">
        <w:rPr>
          <w:rFonts w:ascii="Arial" w:hAnsi="Arial" w:cs="Arial"/>
          <w:b/>
          <w:bCs/>
          <w:color w:val="000000" w:themeColor="text1"/>
          <w:lang w:val="hu-HU"/>
        </w:rPr>
        <w:t xml:space="preserve"> rendszer</w:t>
      </w:r>
    </w:p>
    <w:p w:rsidR="00CB211B" w:rsidRPr="008F4631" w:rsidRDefault="00CB211B" w:rsidP="008F4631">
      <w:pPr>
        <w:spacing w:after="0" w:line="360" w:lineRule="auto"/>
        <w:ind w:right="40"/>
        <w:jc w:val="both"/>
        <w:rPr>
          <w:rFonts w:ascii="Arial" w:hAnsi="Arial" w:cs="Arial"/>
          <w:color w:val="000000" w:themeColor="text1"/>
          <w:lang w:val="hu-HU"/>
        </w:rPr>
      </w:pPr>
      <w:r w:rsidRPr="008F4631">
        <w:rPr>
          <w:rFonts w:ascii="Arial" w:hAnsi="Arial" w:cs="Arial"/>
          <w:color w:val="000000" w:themeColor="text1"/>
          <w:lang w:val="hu-HU"/>
        </w:rPr>
        <w:t>Az RX-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hez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a Mark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Levinson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Premium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Surround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 is megrendelhető, amit kifejezetten az autó utasterének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sajtosságaihoz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terveztek, hogy az utasok a kabin minden pontján a lehető legtökéletesebb zenei élményt élvezhessék. A rendszer 15 hangszórót tartalmaz: elöl és középen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Unity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9 cm-es magashangsugárzókat, elöl egy elliptikus mélyhangszórót, hátul két 2,5 </w:t>
      </w:r>
      <w:r w:rsidRPr="008F4631">
        <w:rPr>
          <w:rFonts w:ascii="Arial" w:hAnsi="Arial" w:cs="Arial"/>
          <w:color w:val="000000" w:themeColor="text1"/>
          <w:lang w:val="hu-HU"/>
        </w:rPr>
        <w:lastRenderedPageBreak/>
        <w:t>cm-es magashangsugárzót, hátul két 17 cm-es teljes hangtartományú hangszórót, két 9 cm-es szatellit középhangsugárzót és egy 20 cm-es hátsó mélynyomót.</w:t>
      </w:r>
      <w:r w:rsidR="009418B7">
        <w:rPr>
          <w:rFonts w:ascii="Arial" w:hAnsi="Arial" w:cs="Arial"/>
          <w:color w:val="000000" w:themeColor="text1"/>
          <w:lang w:val="hu-HU"/>
        </w:rPr>
        <w:t xml:space="preserve"> </w:t>
      </w:r>
      <w:bookmarkStart w:id="1" w:name="_GoBack"/>
      <w:bookmarkEnd w:id="1"/>
      <w:r w:rsidRPr="008F4631">
        <w:rPr>
          <w:rFonts w:ascii="Arial" w:hAnsi="Arial" w:cs="Arial"/>
          <w:color w:val="000000" w:themeColor="text1"/>
          <w:lang w:val="hu-HU"/>
        </w:rPr>
        <w:t xml:space="preserve">A Mark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Levinson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rendszerben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Clari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-Fi technológia állítja helyre a tömörített digitális zenei fájlok minőségét, gazdag mély hangokkal és éles közepes/magas tónusokkal örvendeztetve meg a hallgatót, bármilyen lejátszóból származzon is a zene. A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Quantum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Logic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Surround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elemzi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 xml:space="preserve"> a zenei környezetet (</w:t>
      </w:r>
      <w:proofErr w:type="spellStart"/>
      <w:r w:rsidRPr="008F4631">
        <w:rPr>
          <w:rFonts w:ascii="Arial" w:hAnsi="Arial" w:cs="Arial"/>
          <w:color w:val="000000" w:themeColor="text1"/>
          <w:lang w:val="hu-HU"/>
        </w:rPr>
        <w:t>vokál</w:t>
      </w:r>
      <w:proofErr w:type="spellEnd"/>
      <w:r w:rsidRPr="008F4631">
        <w:rPr>
          <w:rFonts w:ascii="Arial" w:hAnsi="Arial" w:cs="Arial"/>
          <w:color w:val="000000" w:themeColor="text1"/>
          <w:lang w:val="hu-HU"/>
        </w:rPr>
        <w:t>, instrumentális, musical), és ennek megfelelően állítja be a különböző hangszórókat, hogy a mű a lehető legpontosabban szólaljon meg – éppen azon a hangon, ahogyan azt az előadó és a hangmérnökök eredetileg elképzelték.</w:t>
      </w:r>
    </w:p>
    <w:p w:rsidR="00387259" w:rsidRDefault="00387259" w:rsidP="00387259">
      <w:pPr>
        <w:ind w:right="39"/>
        <w:rPr>
          <w:color w:val="000000" w:themeColor="text1"/>
          <w:lang w:val="hu-HU"/>
        </w:rPr>
      </w:pPr>
    </w:p>
    <w:p w:rsidR="00387259" w:rsidRDefault="00387259" w:rsidP="00387259">
      <w:pPr>
        <w:ind w:right="39"/>
        <w:rPr>
          <w:color w:val="000000" w:themeColor="text1"/>
          <w:lang w:val="hu-HU"/>
        </w:rPr>
      </w:pPr>
    </w:p>
    <w:p w:rsidR="005278B2" w:rsidRPr="005278B2" w:rsidRDefault="005278B2" w:rsidP="005278B2">
      <w:pPr>
        <w:spacing w:after="0" w:line="360" w:lineRule="auto"/>
        <w:ind w:right="39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8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CB" w:rsidRDefault="00E161CB" w:rsidP="00566E8D">
      <w:pPr>
        <w:spacing w:after="0" w:line="240" w:lineRule="auto"/>
      </w:pPr>
      <w:r>
        <w:separator/>
      </w:r>
    </w:p>
  </w:endnote>
  <w:endnote w:type="continuationSeparator" w:id="0">
    <w:p w:rsidR="00E161CB" w:rsidRDefault="00E161C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E161CB">
      <w:fldChar w:fldCharType="begin"/>
    </w:r>
    <w:r w:rsidR="00E161CB" w:rsidRPr="00F01BA0">
      <w:rPr>
        <w:lang w:val="hu-HU"/>
      </w:rPr>
      <w:instrText xml:space="preserve"> HYPERLINK "https://www.facebook.com/lexushungary/" </w:instrText>
    </w:r>
    <w:r w:rsidR="00E161CB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E161CB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CB" w:rsidRDefault="00E161CB" w:rsidP="00566E8D">
      <w:pPr>
        <w:spacing w:after="0" w:line="240" w:lineRule="auto"/>
      </w:pPr>
      <w:r>
        <w:separator/>
      </w:r>
    </w:p>
  </w:footnote>
  <w:footnote w:type="continuationSeparator" w:id="0">
    <w:p w:rsidR="00E161CB" w:rsidRDefault="00E161C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64C29"/>
    <w:multiLevelType w:val="hybridMultilevel"/>
    <w:tmpl w:val="288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8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32FBC"/>
    <w:multiLevelType w:val="hybridMultilevel"/>
    <w:tmpl w:val="F146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08C4"/>
    <w:multiLevelType w:val="hybridMultilevel"/>
    <w:tmpl w:val="F144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13"/>
  </w:num>
  <w:num w:numId="6">
    <w:abstractNumId w:val="11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4"/>
  </w:num>
  <w:num w:numId="14">
    <w:abstractNumId w:val="23"/>
  </w:num>
  <w:num w:numId="15">
    <w:abstractNumId w:val="20"/>
  </w:num>
  <w:num w:numId="16">
    <w:abstractNumId w:val="10"/>
  </w:num>
  <w:num w:numId="17">
    <w:abstractNumId w:val="8"/>
  </w:num>
  <w:num w:numId="18">
    <w:abstractNumId w:val="7"/>
  </w:num>
  <w:num w:numId="19">
    <w:abstractNumId w:val="2"/>
  </w:num>
  <w:num w:numId="20">
    <w:abstractNumId w:val="1"/>
  </w:num>
  <w:num w:numId="21">
    <w:abstractNumId w:val="25"/>
  </w:num>
  <w:num w:numId="22">
    <w:abstractNumId w:val="17"/>
  </w:num>
  <w:num w:numId="23">
    <w:abstractNumId w:val="9"/>
  </w:num>
  <w:num w:numId="24">
    <w:abstractNumId w:val="0"/>
  </w:num>
  <w:num w:numId="25">
    <w:abstractNumId w:val="2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3F37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1532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D6A24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22E1"/>
    <w:rsid w:val="001122FF"/>
    <w:rsid w:val="00113B03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060A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3AFF"/>
    <w:rsid w:val="00324AA6"/>
    <w:rsid w:val="00325DF3"/>
    <w:rsid w:val="00326C58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87259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10E8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A89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278B2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4521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4F2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87EDA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42D7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4631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18B7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2B79"/>
    <w:rsid w:val="009A5750"/>
    <w:rsid w:val="009B3721"/>
    <w:rsid w:val="009B52BD"/>
    <w:rsid w:val="009B595B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06A5F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1E9D"/>
    <w:rsid w:val="00A52B1C"/>
    <w:rsid w:val="00A52D58"/>
    <w:rsid w:val="00A63B8F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B501B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3A0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D00"/>
    <w:rsid w:val="00BE5F2B"/>
    <w:rsid w:val="00BF2120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5EB0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211B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803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403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03DB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1586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161C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0C5D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1BA0"/>
    <w:rsid w:val="00F06F0A"/>
    <w:rsid w:val="00F07812"/>
    <w:rsid w:val="00F07EB5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DFC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45FD8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ED4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m-p-">
    <w:name w:val="tm-p-"/>
    <w:basedOn w:val="DefaultParagraphFont"/>
    <w:rsid w:val="00D9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C05C-7DA2-4E9C-8D5A-9EDC23A3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2020-01-22T14:02:00Z</dcterms:created>
  <dcterms:modified xsi:type="dcterms:W3CDTF">2020-01-22T14:13:00Z</dcterms:modified>
</cp:coreProperties>
</file>